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265"/>
        <w:gridCol w:w="5355"/>
        <w:gridCol w:w="5356"/>
        <w:gridCol w:w="2017"/>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CO-10000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總則</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配合主管機關114年9月2日金管證券字第1140346348號令明定證券商應設置之專任內部稽核最低人數，並配合證券商設置標準修訂，開放證券商得設置簡易分支機構或將一般分支機構變更為簡易分支機構，爰修正之。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一、訂定依據：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一、訂定依據：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35F02F" w14:textId="77777777">
        <w:tc>
          <w:tcPr>
            <w:tcW w:w="1384" w:type="dxa"/>
            <w:vMerge/>
            <w:tcBorders>
              <w:left w:val="single" w:sz="12" w:space="0" w:color="auto"/>
            </w:tcBorders>
          </w:tcPr>
          <w:p w14:paraId="07B7A92D" w14:textId="77777777" w:rsidR="003B3105" w:rsidRDefault="003B3105" w:rsidP="001E533B">
            <w:pPr>
              <w:rPr>
                <w:rFonts w:ascii="新細明體" w:eastAsia="新細明體" w:hAnsi="新細明體"/>
              </w:rPr>
            </w:pPr>
          </w:p>
        </w:tc>
        <w:tc>
          <w:tcPr>
            <w:tcW w:w="1276" w:type="dxa"/>
            <w:vMerge/>
          </w:tcPr>
          <w:p w14:paraId="2BE1E6B6" w14:textId="77777777" w:rsidR="003B3105" w:rsidRDefault="003B3105" w:rsidP="001E533B">
            <w:pPr>
              <w:rPr>
                <w:rFonts w:ascii="新細明體" w:eastAsia="新細明體" w:hAnsi="新細明體"/>
              </w:rPr>
            </w:pPr>
          </w:p>
        </w:tc>
        <w:tc>
          <w:tcPr>
            <w:tcW w:w="5386" w:type="dxa"/>
            <w:tcBorders>
              <w:top w:val="nil"/>
              <w:bottom w:val="nil"/>
            </w:tcBorders>
          </w:tcPr>
          <w:p w14:paraId="145C92E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「證券商管理規則」第二條規定，證券商應依各證券相關機構共同訂定之證券商內部控制制度標準規範訂定內部控制制度。</w:t>
            </w:r>
          </w:p>
        </w:tc>
        <w:tc>
          <w:tcPr>
            <w:tcW w:w="5387" w:type="dxa"/>
            <w:tcBorders>
              <w:top w:val="nil"/>
              <w:bottom w:val="nil"/>
            </w:tcBorders>
          </w:tcPr>
          <w:p w14:paraId="3E7CB05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「證券商管理規則」第二條規定，證券商應依各證券相關機構共同訂定之證券商內部控制制度標準規範訂定內部控制制度。</w:t>
            </w:r>
          </w:p>
        </w:tc>
        <w:tc>
          <w:tcPr>
            <w:tcW w:w="2023" w:type="dxa"/>
            <w:vMerge/>
            <w:tcBorders>
              <w:right w:val="single" w:sz="12" w:space="0" w:color="auto"/>
            </w:tcBorders>
          </w:tcPr>
          <w:p w14:paraId="5086B0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FC7CC3" w14:textId="77777777">
        <w:tc>
          <w:tcPr>
            <w:tcW w:w="1384" w:type="dxa"/>
            <w:vMerge/>
            <w:tcBorders>
              <w:left w:val="single" w:sz="12" w:space="0" w:color="auto"/>
            </w:tcBorders>
          </w:tcPr>
          <w:p w14:paraId="624C3282" w14:textId="77777777" w:rsidR="003B3105" w:rsidRDefault="003B3105" w:rsidP="001E533B">
            <w:pPr>
              <w:rPr>
                <w:rFonts w:ascii="新細明體" w:eastAsia="新細明體" w:hAnsi="新細明體"/>
              </w:rPr>
            </w:pPr>
          </w:p>
        </w:tc>
        <w:tc>
          <w:tcPr>
            <w:tcW w:w="1276" w:type="dxa"/>
            <w:vMerge/>
          </w:tcPr>
          <w:p w14:paraId="203A9399" w14:textId="77777777" w:rsidR="003B3105" w:rsidRDefault="003B3105" w:rsidP="001E533B">
            <w:pPr>
              <w:rPr>
                <w:rFonts w:ascii="新細明體" w:eastAsia="新細明體" w:hAnsi="新細明體"/>
              </w:rPr>
            </w:pPr>
          </w:p>
        </w:tc>
        <w:tc>
          <w:tcPr>
            <w:tcW w:w="5386" w:type="dxa"/>
            <w:tcBorders>
              <w:top w:val="nil"/>
              <w:bottom w:val="nil"/>
            </w:tcBorders>
          </w:tcPr>
          <w:p w14:paraId="023D1D6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本標準規範依據「證券暨期貨市場各服務事業建立內部控制制度處理準則」等相關法規編製而成。</w:t>
            </w:r>
          </w:p>
        </w:tc>
        <w:tc>
          <w:tcPr>
            <w:tcW w:w="5387" w:type="dxa"/>
            <w:tcBorders>
              <w:top w:val="nil"/>
              <w:bottom w:val="nil"/>
            </w:tcBorders>
          </w:tcPr>
          <w:p w14:paraId="7D9E344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本標準規範依據「證券暨期貨市場各服務事業建立內部控制制度處理準則」等相關法規編製而成。</w:t>
            </w:r>
          </w:p>
        </w:tc>
        <w:tc>
          <w:tcPr>
            <w:tcW w:w="2023" w:type="dxa"/>
            <w:vMerge/>
            <w:tcBorders>
              <w:right w:val="single" w:sz="12" w:space="0" w:color="auto"/>
            </w:tcBorders>
          </w:tcPr>
          <w:p w14:paraId="3947D6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42FF11" w14:textId="77777777">
        <w:tc>
          <w:tcPr>
            <w:tcW w:w="1384" w:type="dxa"/>
            <w:vMerge/>
            <w:tcBorders>
              <w:left w:val="single" w:sz="12" w:space="0" w:color="auto"/>
            </w:tcBorders>
          </w:tcPr>
          <w:p w14:paraId="584B0846" w14:textId="77777777" w:rsidR="003B3105" w:rsidRDefault="003B3105" w:rsidP="001E533B">
            <w:pPr>
              <w:rPr>
                <w:rFonts w:ascii="新細明體" w:eastAsia="新細明體" w:hAnsi="新細明體"/>
              </w:rPr>
            </w:pPr>
          </w:p>
        </w:tc>
        <w:tc>
          <w:tcPr>
            <w:tcW w:w="1276" w:type="dxa"/>
            <w:vMerge/>
          </w:tcPr>
          <w:p w14:paraId="5189518D" w14:textId="77777777" w:rsidR="003B3105" w:rsidRDefault="003B3105" w:rsidP="001E533B">
            <w:pPr>
              <w:rPr>
                <w:rFonts w:ascii="新細明體" w:eastAsia="新細明體" w:hAnsi="新細明體"/>
              </w:rPr>
            </w:pPr>
          </w:p>
        </w:tc>
        <w:tc>
          <w:tcPr>
            <w:tcW w:w="5386" w:type="dxa"/>
            <w:tcBorders>
              <w:top w:val="nil"/>
              <w:bottom w:val="nil"/>
            </w:tcBorders>
          </w:tcPr>
          <w:p w14:paraId="1C0A6C2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係為各證券商訂定內部控制制度之最低要求標準，各證券商仍應視其規模、業務範圍等訂定有效之內部控制制度之規範。但僅經營跨境交易，受理證券商或外國特殊目的機構（證券商）申報買賣，不接受投資人委託買賣之特殊目的證券商，除主管機關或證交所等證券相關機構另有規定或指定外，得依其業務性質適用或不適用本標準規範各章節之全部或部分內容，並得依適用特性另訂有效之內部控制制度章節。</w:t>
            </w:r>
          </w:p>
        </w:tc>
        <w:tc>
          <w:tcPr>
            <w:tcW w:w="5387" w:type="dxa"/>
            <w:tcBorders>
              <w:top w:val="nil"/>
              <w:bottom w:val="nil"/>
            </w:tcBorders>
          </w:tcPr>
          <w:p w14:paraId="56E5185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係為各證券商訂定內部控制制度之最低要求標準，各證券商仍應視其規模、業務範圍等訂定有效之內部控制制度之規範。但僅經營跨境交易，受理證券商或外國特殊目的機構（證券商）申報買賣，不接受投資人委託買賣之特殊目的證券商，除主管機關或證交所等證券相關機構另有規定或指定外，得依其業務性質適用或不適用本標準規範各章節之全部或部分內容，並得依適用特性另訂有效之內部控制制度章節。</w:t>
            </w:r>
          </w:p>
        </w:tc>
        <w:tc>
          <w:tcPr>
            <w:tcW w:w="2023" w:type="dxa"/>
            <w:vMerge/>
            <w:tcBorders>
              <w:right w:val="single" w:sz="12" w:space="0" w:color="auto"/>
            </w:tcBorders>
          </w:tcPr>
          <w:p w14:paraId="2DE4D1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E592A3" w14:textId="77777777">
        <w:tc>
          <w:tcPr>
            <w:tcW w:w="1384" w:type="dxa"/>
            <w:vMerge/>
            <w:tcBorders>
              <w:left w:val="single" w:sz="12" w:space="0" w:color="auto"/>
            </w:tcBorders>
          </w:tcPr>
          <w:p w14:paraId="2B3FF90F" w14:textId="77777777" w:rsidR="003B3105" w:rsidRDefault="003B3105" w:rsidP="001E533B">
            <w:pPr>
              <w:rPr>
                <w:rFonts w:ascii="新細明體" w:eastAsia="新細明體" w:hAnsi="新細明體"/>
              </w:rPr>
            </w:pPr>
          </w:p>
        </w:tc>
        <w:tc>
          <w:tcPr>
            <w:tcW w:w="1276" w:type="dxa"/>
            <w:vMerge/>
          </w:tcPr>
          <w:p w14:paraId="50426BAC" w14:textId="77777777" w:rsidR="003B3105" w:rsidRDefault="003B3105" w:rsidP="001E533B">
            <w:pPr>
              <w:rPr>
                <w:rFonts w:ascii="新細明體" w:eastAsia="新細明體" w:hAnsi="新細明體"/>
              </w:rPr>
            </w:pPr>
          </w:p>
        </w:tc>
        <w:tc>
          <w:tcPr>
            <w:tcW w:w="5386" w:type="dxa"/>
            <w:tcBorders>
              <w:top w:val="nil"/>
              <w:bottom w:val="nil"/>
            </w:tcBorders>
          </w:tcPr>
          <w:p w14:paraId="1F297A4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二、本標準規範之使用：</w:t>
            </w:r>
          </w:p>
        </w:tc>
        <w:tc>
          <w:tcPr>
            <w:tcW w:w="5387" w:type="dxa"/>
            <w:tcBorders>
              <w:top w:val="nil"/>
              <w:bottom w:val="nil"/>
            </w:tcBorders>
          </w:tcPr>
          <w:p w14:paraId="1545CD7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二、本標準規範之使用：</w:t>
            </w:r>
          </w:p>
        </w:tc>
        <w:tc>
          <w:tcPr>
            <w:tcW w:w="2023" w:type="dxa"/>
            <w:vMerge/>
            <w:tcBorders>
              <w:right w:val="single" w:sz="12" w:space="0" w:color="auto"/>
            </w:tcBorders>
          </w:tcPr>
          <w:p w14:paraId="31E9155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455B59" w14:textId="77777777">
        <w:tc>
          <w:tcPr>
            <w:tcW w:w="1384" w:type="dxa"/>
            <w:vMerge/>
            <w:tcBorders>
              <w:left w:val="single" w:sz="12" w:space="0" w:color="auto"/>
            </w:tcBorders>
          </w:tcPr>
          <w:p w14:paraId="633748BC" w14:textId="77777777" w:rsidR="003B3105" w:rsidRDefault="003B3105" w:rsidP="001E533B">
            <w:pPr>
              <w:rPr>
                <w:rFonts w:ascii="新細明體" w:eastAsia="新細明體" w:hAnsi="新細明體"/>
              </w:rPr>
            </w:pPr>
          </w:p>
        </w:tc>
        <w:tc>
          <w:tcPr>
            <w:tcW w:w="1276" w:type="dxa"/>
            <w:vMerge/>
          </w:tcPr>
          <w:p w14:paraId="5AEE461D" w14:textId="77777777" w:rsidR="003B3105" w:rsidRDefault="003B3105" w:rsidP="001E533B">
            <w:pPr>
              <w:rPr>
                <w:rFonts w:ascii="新細明體" w:eastAsia="新細明體" w:hAnsi="新細明體"/>
              </w:rPr>
            </w:pPr>
          </w:p>
        </w:tc>
        <w:tc>
          <w:tcPr>
            <w:tcW w:w="5386" w:type="dxa"/>
            <w:tcBorders>
              <w:top w:val="nil"/>
              <w:bottom w:val="nil"/>
            </w:tcBorders>
          </w:tcPr>
          <w:p w14:paraId="02049D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控制制度之設計，須考量公司控制環境、風險評估、控制作業、資訊及溝通、監督等控制因素訂定。本標準規範主要目的在提供形式上的範例，供各證券商編製內部控制制度時之參考；至於實質內容，由於各證券商規模大小、組織架構、管理方式不一，故本標準規範</w:t>
            </w:r>
            <w:r>
              <w:rPr>
                <w:rFonts w:ascii="新細明體" w:eastAsia="新細明體" w:hAnsi="新細明體" w:cs="新細明體" w:hint="eastAsia"/>
              </w:rPr>
              <w:lastRenderedPageBreak/>
              <w:t>僅就該制度之相關重點作原則性規範，對各相關之內部管理控制用之規章、辦法、要點，如員工管理規則、印鑑使用管理規章、會計制度等，則由各證券商就其授權、核准、執行程序及相關控制表單自行訂立書面制度。</w:t>
            </w:r>
          </w:p>
        </w:tc>
        <w:tc>
          <w:tcPr>
            <w:tcW w:w="5387" w:type="dxa"/>
            <w:tcBorders>
              <w:top w:val="nil"/>
              <w:bottom w:val="nil"/>
            </w:tcBorders>
          </w:tcPr>
          <w:p w14:paraId="0607FA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一)內部控制制度之設計，須考量公司控制環境、風險評估、控制作業、資訊及溝通、監督等控制因素訂定。本標準規範主要目的在提供形式上的範例，供各證券商編製內部控制制度時之參考；至於實質內容，由於各證券商規模大小、組織架構、管理方式不一，故本標準規範</w:t>
            </w:r>
            <w:r>
              <w:rPr>
                <w:rFonts w:ascii="新細明體" w:eastAsia="新細明體" w:hAnsi="新細明體" w:cs="新細明體" w:hint="eastAsia"/>
              </w:rPr>
              <w:lastRenderedPageBreak/>
              <w:t>僅就該制度之相關重點作原則性規範，對各相關之內部管理控制用之規章、辦法、要點，如員工管理規則、印鑑使用管理規章、會計制度等，則由各證券商就其授權、核准、執行程序及相關控制表單自行訂立書面制度。</w:t>
            </w:r>
          </w:p>
        </w:tc>
        <w:tc>
          <w:tcPr>
            <w:tcW w:w="2023" w:type="dxa"/>
            <w:vMerge/>
            <w:tcBorders>
              <w:right w:val="single" w:sz="12" w:space="0" w:color="auto"/>
            </w:tcBorders>
          </w:tcPr>
          <w:p w14:paraId="7B1CB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83202B" w14:textId="77777777">
        <w:tc>
          <w:tcPr>
            <w:tcW w:w="1384" w:type="dxa"/>
            <w:vMerge/>
            <w:tcBorders>
              <w:left w:val="single" w:sz="12" w:space="0" w:color="auto"/>
            </w:tcBorders>
          </w:tcPr>
          <w:p w14:paraId="37CE1DE7" w14:textId="77777777" w:rsidR="003B3105" w:rsidRDefault="003B3105" w:rsidP="001E533B">
            <w:pPr>
              <w:rPr>
                <w:rFonts w:ascii="新細明體" w:eastAsia="新細明體" w:hAnsi="新細明體"/>
              </w:rPr>
            </w:pPr>
          </w:p>
        </w:tc>
        <w:tc>
          <w:tcPr>
            <w:tcW w:w="1276" w:type="dxa"/>
            <w:vMerge/>
          </w:tcPr>
          <w:p w14:paraId="795E0613" w14:textId="77777777" w:rsidR="003B3105" w:rsidRDefault="003B3105" w:rsidP="001E533B">
            <w:pPr>
              <w:rPr>
                <w:rFonts w:ascii="新細明體" w:eastAsia="新細明體" w:hAnsi="新細明體"/>
              </w:rPr>
            </w:pPr>
          </w:p>
        </w:tc>
        <w:tc>
          <w:tcPr>
            <w:tcW w:w="5386" w:type="dxa"/>
            <w:tcBorders>
              <w:top w:val="nil"/>
              <w:bottom w:val="nil"/>
            </w:tcBorders>
          </w:tcPr>
          <w:p w14:paraId="271BFA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各證券商自訂之內部控制制度，其作業程序、控制重點及內部稽核實施細則至少應包括本標準規範所訂內容，並得視公司本身經營狀況自行增列相關內容，惟自行增列部分，不得違反本標準規範、相關法令規章或集保作業手冊等規定。爾後如有法令增、修訂或公司內、外在情況變動等情事，應即配合檢討、修正其內部控制制度內容，以確保制度之完整性及有效性；未及配合法令規章修正時，仍應依法令規章要求辦理。</w:t>
            </w:r>
          </w:p>
        </w:tc>
        <w:tc>
          <w:tcPr>
            <w:tcW w:w="5387" w:type="dxa"/>
            <w:tcBorders>
              <w:top w:val="nil"/>
              <w:bottom w:val="nil"/>
            </w:tcBorders>
          </w:tcPr>
          <w:p w14:paraId="7777BD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各證券商自訂之內部控制制度，其作業程序、控制重點及內部稽核實施細則至少應包括本標準規範所訂內容，並得視公司本身經營狀況自行增列相關內容，惟自行增列部分，不得違反本標準規範、相關法令規章或集保作業手冊等規定。爾後如有法令增、修訂或公司內、外在情況變動等情事，應即配合檢討、修正其內部控制制度內容，以確保制度之完整性及有效性；未及配合法令規章修正時，仍應依法令規章要求辦理。</w:t>
            </w:r>
          </w:p>
        </w:tc>
        <w:tc>
          <w:tcPr>
            <w:tcW w:w="2023" w:type="dxa"/>
            <w:vMerge/>
            <w:tcBorders>
              <w:right w:val="single" w:sz="12" w:space="0" w:color="auto"/>
            </w:tcBorders>
          </w:tcPr>
          <w:p w14:paraId="47ADED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F60462" w14:textId="77777777">
        <w:tc>
          <w:tcPr>
            <w:tcW w:w="1384" w:type="dxa"/>
            <w:vMerge/>
            <w:tcBorders>
              <w:left w:val="single" w:sz="12" w:space="0" w:color="auto"/>
            </w:tcBorders>
          </w:tcPr>
          <w:p w14:paraId="1F75FF2B" w14:textId="77777777" w:rsidR="003B3105" w:rsidRDefault="003B3105" w:rsidP="001E533B">
            <w:pPr>
              <w:rPr>
                <w:rFonts w:ascii="新細明體" w:eastAsia="新細明體" w:hAnsi="新細明體"/>
              </w:rPr>
            </w:pPr>
          </w:p>
        </w:tc>
        <w:tc>
          <w:tcPr>
            <w:tcW w:w="1276" w:type="dxa"/>
            <w:vMerge/>
          </w:tcPr>
          <w:p w14:paraId="0CCADDAE" w14:textId="77777777" w:rsidR="003B3105" w:rsidRDefault="003B3105" w:rsidP="001E533B">
            <w:pPr>
              <w:rPr>
                <w:rFonts w:ascii="新細明體" w:eastAsia="新細明體" w:hAnsi="新細明體"/>
              </w:rPr>
            </w:pPr>
          </w:p>
        </w:tc>
        <w:tc>
          <w:tcPr>
            <w:tcW w:w="5386" w:type="dxa"/>
            <w:tcBorders>
              <w:top w:val="nil"/>
              <w:bottom w:val="nil"/>
            </w:tcBorders>
          </w:tcPr>
          <w:p w14:paraId="5DA7138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(三)本標準規範中各單位名稱簡稱如下：</w:t>
            </w:r>
          </w:p>
        </w:tc>
        <w:tc>
          <w:tcPr>
            <w:tcW w:w="5387" w:type="dxa"/>
            <w:tcBorders>
              <w:top w:val="nil"/>
              <w:bottom w:val="nil"/>
            </w:tcBorders>
          </w:tcPr>
          <w:p w14:paraId="6DA43E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(三)本標準規範中各單位名稱簡稱如下：</w:t>
            </w:r>
          </w:p>
        </w:tc>
        <w:tc>
          <w:tcPr>
            <w:tcW w:w="2023" w:type="dxa"/>
            <w:vMerge/>
            <w:tcBorders>
              <w:right w:val="single" w:sz="12" w:space="0" w:color="auto"/>
            </w:tcBorders>
          </w:tcPr>
          <w:p w14:paraId="50EBE6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A78A0F" w14:textId="77777777">
        <w:tc>
          <w:tcPr>
            <w:tcW w:w="1384" w:type="dxa"/>
            <w:vMerge/>
            <w:tcBorders>
              <w:left w:val="single" w:sz="12" w:space="0" w:color="auto"/>
            </w:tcBorders>
          </w:tcPr>
          <w:p w14:paraId="6D12D534" w14:textId="77777777" w:rsidR="003B3105" w:rsidRDefault="003B3105" w:rsidP="001E533B">
            <w:pPr>
              <w:rPr>
                <w:rFonts w:ascii="新細明體" w:eastAsia="新細明體" w:hAnsi="新細明體"/>
              </w:rPr>
            </w:pPr>
          </w:p>
        </w:tc>
        <w:tc>
          <w:tcPr>
            <w:tcW w:w="1276" w:type="dxa"/>
            <w:vMerge/>
          </w:tcPr>
          <w:p w14:paraId="068A0F2D" w14:textId="77777777" w:rsidR="003B3105" w:rsidRDefault="003B3105" w:rsidP="001E533B">
            <w:pPr>
              <w:rPr>
                <w:rFonts w:ascii="新細明體" w:eastAsia="新細明體" w:hAnsi="新細明體"/>
              </w:rPr>
            </w:pPr>
          </w:p>
        </w:tc>
        <w:tc>
          <w:tcPr>
            <w:tcW w:w="5386" w:type="dxa"/>
            <w:tcBorders>
              <w:top w:val="nil"/>
              <w:bottom w:val="nil"/>
            </w:tcBorders>
          </w:tcPr>
          <w:p w14:paraId="7974D86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1.金融監督管理委員會：主管機關</w:t>
            </w:r>
          </w:p>
        </w:tc>
        <w:tc>
          <w:tcPr>
            <w:tcW w:w="5387" w:type="dxa"/>
            <w:tcBorders>
              <w:top w:val="nil"/>
              <w:bottom w:val="nil"/>
            </w:tcBorders>
          </w:tcPr>
          <w:p w14:paraId="129E19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1.金融監督管理委員會：主管機關</w:t>
            </w:r>
          </w:p>
        </w:tc>
        <w:tc>
          <w:tcPr>
            <w:tcW w:w="2023" w:type="dxa"/>
            <w:vMerge/>
            <w:tcBorders>
              <w:right w:val="single" w:sz="12" w:space="0" w:color="auto"/>
            </w:tcBorders>
          </w:tcPr>
          <w:p w14:paraId="565053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9C0DD" w14:textId="77777777">
        <w:tc>
          <w:tcPr>
            <w:tcW w:w="1384" w:type="dxa"/>
            <w:vMerge/>
            <w:tcBorders>
              <w:left w:val="single" w:sz="12" w:space="0" w:color="auto"/>
            </w:tcBorders>
          </w:tcPr>
          <w:p w14:paraId="50685CB5" w14:textId="77777777" w:rsidR="003B3105" w:rsidRDefault="003B3105" w:rsidP="001E533B">
            <w:pPr>
              <w:rPr>
                <w:rFonts w:ascii="新細明體" w:eastAsia="新細明體" w:hAnsi="新細明體"/>
              </w:rPr>
            </w:pPr>
          </w:p>
        </w:tc>
        <w:tc>
          <w:tcPr>
            <w:tcW w:w="1276" w:type="dxa"/>
            <w:vMerge/>
          </w:tcPr>
          <w:p w14:paraId="4EB95DE0" w14:textId="77777777" w:rsidR="003B3105" w:rsidRDefault="003B3105" w:rsidP="001E533B">
            <w:pPr>
              <w:rPr>
                <w:rFonts w:ascii="新細明體" w:eastAsia="新細明體" w:hAnsi="新細明體"/>
              </w:rPr>
            </w:pPr>
          </w:p>
        </w:tc>
        <w:tc>
          <w:tcPr>
            <w:tcW w:w="5386" w:type="dxa"/>
            <w:tcBorders>
              <w:top w:val="nil"/>
              <w:bottom w:val="nil"/>
            </w:tcBorders>
          </w:tcPr>
          <w:p w14:paraId="3853373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2.台灣證券交易所股份有限公司：證交所</w:t>
            </w:r>
          </w:p>
        </w:tc>
        <w:tc>
          <w:tcPr>
            <w:tcW w:w="5387" w:type="dxa"/>
            <w:tcBorders>
              <w:top w:val="nil"/>
              <w:bottom w:val="nil"/>
            </w:tcBorders>
          </w:tcPr>
          <w:p w14:paraId="6B79EE7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2.台灣證券交易所股份有限公司：證交所</w:t>
            </w:r>
          </w:p>
        </w:tc>
        <w:tc>
          <w:tcPr>
            <w:tcW w:w="2023" w:type="dxa"/>
            <w:vMerge/>
            <w:tcBorders>
              <w:right w:val="single" w:sz="12" w:space="0" w:color="auto"/>
            </w:tcBorders>
          </w:tcPr>
          <w:p w14:paraId="3FBEB2A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CC0E92" w14:textId="77777777">
        <w:tc>
          <w:tcPr>
            <w:tcW w:w="1384" w:type="dxa"/>
            <w:vMerge/>
            <w:tcBorders>
              <w:left w:val="single" w:sz="12" w:space="0" w:color="auto"/>
            </w:tcBorders>
          </w:tcPr>
          <w:p w14:paraId="69C8973A" w14:textId="77777777" w:rsidR="003B3105" w:rsidRDefault="003B3105" w:rsidP="001E533B">
            <w:pPr>
              <w:rPr>
                <w:rFonts w:ascii="新細明體" w:eastAsia="新細明體" w:hAnsi="新細明體"/>
              </w:rPr>
            </w:pPr>
          </w:p>
        </w:tc>
        <w:tc>
          <w:tcPr>
            <w:tcW w:w="1276" w:type="dxa"/>
            <w:vMerge/>
          </w:tcPr>
          <w:p w14:paraId="4F5E8E12" w14:textId="77777777" w:rsidR="003B3105" w:rsidRDefault="003B3105" w:rsidP="001E533B">
            <w:pPr>
              <w:rPr>
                <w:rFonts w:ascii="新細明體" w:eastAsia="新細明體" w:hAnsi="新細明體"/>
              </w:rPr>
            </w:pPr>
          </w:p>
        </w:tc>
        <w:tc>
          <w:tcPr>
            <w:tcW w:w="5386" w:type="dxa"/>
            <w:tcBorders>
              <w:top w:val="nil"/>
              <w:bottom w:val="nil"/>
            </w:tcBorders>
          </w:tcPr>
          <w:p w14:paraId="797D27F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3.財團法人中華民國證券櫃檯買賣中心：櫃檯買賣中心</w:t>
            </w:r>
          </w:p>
        </w:tc>
        <w:tc>
          <w:tcPr>
            <w:tcW w:w="5387" w:type="dxa"/>
            <w:tcBorders>
              <w:top w:val="nil"/>
              <w:bottom w:val="nil"/>
            </w:tcBorders>
          </w:tcPr>
          <w:p w14:paraId="51744B3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3.財團法人中華民國證券櫃檯買賣中心：櫃檯買賣中心</w:t>
            </w:r>
          </w:p>
        </w:tc>
        <w:tc>
          <w:tcPr>
            <w:tcW w:w="2023" w:type="dxa"/>
            <w:vMerge/>
            <w:tcBorders>
              <w:right w:val="single" w:sz="12" w:space="0" w:color="auto"/>
            </w:tcBorders>
          </w:tcPr>
          <w:p w14:paraId="75762D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4A9474" w14:textId="77777777">
        <w:tc>
          <w:tcPr>
            <w:tcW w:w="1384" w:type="dxa"/>
            <w:vMerge/>
            <w:tcBorders>
              <w:left w:val="single" w:sz="12" w:space="0" w:color="auto"/>
            </w:tcBorders>
          </w:tcPr>
          <w:p w14:paraId="1C57E975" w14:textId="77777777" w:rsidR="003B3105" w:rsidRDefault="003B3105" w:rsidP="001E533B">
            <w:pPr>
              <w:rPr>
                <w:rFonts w:ascii="新細明體" w:eastAsia="新細明體" w:hAnsi="新細明體"/>
              </w:rPr>
            </w:pPr>
          </w:p>
        </w:tc>
        <w:tc>
          <w:tcPr>
            <w:tcW w:w="1276" w:type="dxa"/>
            <w:vMerge/>
          </w:tcPr>
          <w:p w14:paraId="73A3EEFD" w14:textId="77777777" w:rsidR="003B3105" w:rsidRDefault="003B3105" w:rsidP="001E533B">
            <w:pPr>
              <w:rPr>
                <w:rFonts w:ascii="新細明體" w:eastAsia="新細明體" w:hAnsi="新細明體"/>
              </w:rPr>
            </w:pPr>
          </w:p>
        </w:tc>
        <w:tc>
          <w:tcPr>
            <w:tcW w:w="5386" w:type="dxa"/>
            <w:tcBorders>
              <w:top w:val="nil"/>
              <w:bottom w:val="nil"/>
            </w:tcBorders>
          </w:tcPr>
          <w:p w14:paraId="731456A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4.臺灣集中保管結算所股份有限公司：集保公司</w:t>
            </w:r>
          </w:p>
        </w:tc>
        <w:tc>
          <w:tcPr>
            <w:tcW w:w="5387" w:type="dxa"/>
            <w:tcBorders>
              <w:top w:val="nil"/>
              <w:bottom w:val="nil"/>
            </w:tcBorders>
          </w:tcPr>
          <w:p w14:paraId="6E4DDA9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4.臺灣集中保管結算所股份有限公司：集保公司</w:t>
            </w:r>
          </w:p>
        </w:tc>
        <w:tc>
          <w:tcPr>
            <w:tcW w:w="2023" w:type="dxa"/>
            <w:vMerge/>
            <w:tcBorders>
              <w:right w:val="single" w:sz="12" w:space="0" w:color="auto"/>
            </w:tcBorders>
          </w:tcPr>
          <w:p w14:paraId="3BC72E5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7429CF" w14:textId="77777777">
        <w:tc>
          <w:tcPr>
            <w:tcW w:w="1384" w:type="dxa"/>
            <w:vMerge/>
            <w:tcBorders>
              <w:left w:val="single" w:sz="12" w:space="0" w:color="auto"/>
            </w:tcBorders>
          </w:tcPr>
          <w:p w14:paraId="3F2E0AD8" w14:textId="77777777" w:rsidR="003B3105" w:rsidRDefault="003B3105" w:rsidP="001E533B">
            <w:pPr>
              <w:rPr>
                <w:rFonts w:ascii="新細明體" w:eastAsia="新細明體" w:hAnsi="新細明體"/>
              </w:rPr>
            </w:pPr>
          </w:p>
        </w:tc>
        <w:tc>
          <w:tcPr>
            <w:tcW w:w="1276" w:type="dxa"/>
            <w:vMerge/>
          </w:tcPr>
          <w:p w14:paraId="6462DF1A" w14:textId="77777777" w:rsidR="003B3105" w:rsidRDefault="003B3105" w:rsidP="001E533B">
            <w:pPr>
              <w:rPr>
                <w:rFonts w:ascii="新細明體" w:eastAsia="新細明體" w:hAnsi="新細明體"/>
              </w:rPr>
            </w:pPr>
          </w:p>
        </w:tc>
        <w:tc>
          <w:tcPr>
            <w:tcW w:w="5386" w:type="dxa"/>
            <w:tcBorders>
              <w:top w:val="nil"/>
              <w:bottom w:val="nil"/>
            </w:tcBorders>
          </w:tcPr>
          <w:p w14:paraId="4015D21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5.中華民國證券商業同業公會：券商公會</w:t>
            </w:r>
          </w:p>
        </w:tc>
        <w:tc>
          <w:tcPr>
            <w:tcW w:w="5387" w:type="dxa"/>
            <w:tcBorders>
              <w:top w:val="nil"/>
              <w:bottom w:val="nil"/>
            </w:tcBorders>
          </w:tcPr>
          <w:p w14:paraId="2029C0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5.中華民國證券商業同業公會：券商公會</w:t>
            </w:r>
          </w:p>
        </w:tc>
        <w:tc>
          <w:tcPr>
            <w:tcW w:w="2023" w:type="dxa"/>
            <w:vMerge/>
            <w:tcBorders>
              <w:right w:val="single" w:sz="12" w:space="0" w:color="auto"/>
            </w:tcBorders>
          </w:tcPr>
          <w:p w14:paraId="7CDA44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6B5FD7" w14:textId="77777777">
        <w:tc>
          <w:tcPr>
            <w:tcW w:w="1384" w:type="dxa"/>
            <w:vMerge/>
            <w:tcBorders>
              <w:left w:val="single" w:sz="12" w:space="0" w:color="auto"/>
            </w:tcBorders>
          </w:tcPr>
          <w:p w14:paraId="6F74CE3A" w14:textId="77777777" w:rsidR="003B3105" w:rsidRDefault="003B3105" w:rsidP="001E533B">
            <w:pPr>
              <w:rPr>
                <w:rFonts w:ascii="新細明體" w:eastAsia="新細明體" w:hAnsi="新細明體"/>
              </w:rPr>
            </w:pPr>
          </w:p>
        </w:tc>
        <w:tc>
          <w:tcPr>
            <w:tcW w:w="1276" w:type="dxa"/>
            <w:vMerge/>
          </w:tcPr>
          <w:p w14:paraId="6F1873B7" w14:textId="77777777" w:rsidR="003B3105" w:rsidRDefault="003B3105" w:rsidP="001E533B">
            <w:pPr>
              <w:rPr>
                <w:rFonts w:ascii="新細明體" w:eastAsia="新細明體" w:hAnsi="新細明體"/>
              </w:rPr>
            </w:pPr>
          </w:p>
        </w:tc>
        <w:tc>
          <w:tcPr>
            <w:tcW w:w="5386" w:type="dxa"/>
            <w:tcBorders>
              <w:top w:val="nil"/>
              <w:bottom w:val="nil"/>
            </w:tcBorders>
          </w:tcPr>
          <w:p w14:paraId="181C1C0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6.財團法人證券暨期貨發展基金會：證基會</w:t>
            </w:r>
          </w:p>
        </w:tc>
        <w:tc>
          <w:tcPr>
            <w:tcW w:w="5387" w:type="dxa"/>
            <w:tcBorders>
              <w:top w:val="nil"/>
              <w:bottom w:val="nil"/>
            </w:tcBorders>
          </w:tcPr>
          <w:p w14:paraId="096B3B3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6.財團法人證券暨期貨發展基金會：證基會</w:t>
            </w:r>
          </w:p>
        </w:tc>
        <w:tc>
          <w:tcPr>
            <w:tcW w:w="2023" w:type="dxa"/>
            <w:vMerge/>
            <w:tcBorders>
              <w:right w:val="single" w:sz="12" w:space="0" w:color="auto"/>
            </w:tcBorders>
          </w:tcPr>
          <w:p w14:paraId="71CA7E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0D52C2" w14:textId="77777777">
        <w:tc>
          <w:tcPr>
            <w:tcW w:w="1384" w:type="dxa"/>
            <w:vMerge/>
            <w:tcBorders>
              <w:left w:val="single" w:sz="12" w:space="0" w:color="auto"/>
            </w:tcBorders>
          </w:tcPr>
          <w:p w14:paraId="3248613F" w14:textId="77777777" w:rsidR="003B3105" w:rsidRDefault="003B3105" w:rsidP="001E533B">
            <w:pPr>
              <w:rPr>
                <w:rFonts w:ascii="新細明體" w:eastAsia="新細明體" w:hAnsi="新細明體"/>
              </w:rPr>
            </w:pPr>
          </w:p>
        </w:tc>
        <w:tc>
          <w:tcPr>
            <w:tcW w:w="1276" w:type="dxa"/>
            <w:vMerge/>
          </w:tcPr>
          <w:p w14:paraId="1DC772D3" w14:textId="77777777" w:rsidR="003B3105" w:rsidRDefault="003B3105" w:rsidP="001E533B">
            <w:pPr>
              <w:rPr>
                <w:rFonts w:ascii="新細明體" w:eastAsia="新細明體" w:hAnsi="新細明體"/>
              </w:rPr>
            </w:pPr>
          </w:p>
        </w:tc>
        <w:tc>
          <w:tcPr>
            <w:tcW w:w="5386" w:type="dxa"/>
            <w:tcBorders>
              <w:top w:val="nil"/>
              <w:bottom w:val="nil"/>
            </w:tcBorders>
          </w:tcPr>
          <w:p w14:paraId="078CCB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7.臺灣期貨交易所股份有限公司：期交所</w:t>
            </w:r>
          </w:p>
        </w:tc>
        <w:tc>
          <w:tcPr>
            <w:tcW w:w="5387" w:type="dxa"/>
            <w:tcBorders>
              <w:top w:val="nil"/>
              <w:bottom w:val="nil"/>
            </w:tcBorders>
          </w:tcPr>
          <w:p w14:paraId="3F7444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7.臺灣期貨交易所股份有限公司：期交所</w:t>
            </w:r>
          </w:p>
        </w:tc>
        <w:tc>
          <w:tcPr>
            <w:tcW w:w="2023" w:type="dxa"/>
            <w:vMerge/>
            <w:tcBorders>
              <w:right w:val="single" w:sz="12" w:space="0" w:color="auto"/>
            </w:tcBorders>
          </w:tcPr>
          <w:p w14:paraId="6A774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F73C28" w14:textId="77777777">
        <w:tc>
          <w:tcPr>
            <w:tcW w:w="1384" w:type="dxa"/>
            <w:vMerge/>
            <w:tcBorders>
              <w:left w:val="single" w:sz="12" w:space="0" w:color="auto"/>
            </w:tcBorders>
          </w:tcPr>
          <w:p w14:paraId="032CDC62" w14:textId="77777777" w:rsidR="003B3105" w:rsidRDefault="003B3105" w:rsidP="001E533B">
            <w:pPr>
              <w:rPr>
                <w:rFonts w:ascii="新細明體" w:eastAsia="新細明體" w:hAnsi="新細明體"/>
              </w:rPr>
            </w:pPr>
          </w:p>
        </w:tc>
        <w:tc>
          <w:tcPr>
            <w:tcW w:w="1276" w:type="dxa"/>
            <w:vMerge/>
          </w:tcPr>
          <w:p w14:paraId="6B0F5179" w14:textId="77777777" w:rsidR="003B3105" w:rsidRDefault="003B3105" w:rsidP="001E533B">
            <w:pPr>
              <w:rPr>
                <w:rFonts w:ascii="新細明體" w:eastAsia="新細明體" w:hAnsi="新細明體"/>
              </w:rPr>
            </w:pPr>
          </w:p>
        </w:tc>
        <w:tc>
          <w:tcPr>
            <w:tcW w:w="5386" w:type="dxa"/>
            <w:tcBorders>
              <w:top w:val="nil"/>
              <w:bottom w:val="nil"/>
            </w:tcBorders>
          </w:tcPr>
          <w:p w14:paraId="45B57FC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三、各證券商訂立內部控制制度時，應於總則部分至少敘明下列事項：</w:t>
            </w:r>
          </w:p>
        </w:tc>
        <w:tc>
          <w:tcPr>
            <w:tcW w:w="5387" w:type="dxa"/>
            <w:tcBorders>
              <w:top w:val="nil"/>
              <w:bottom w:val="nil"/>
            </w:tcBorders>
          </w:tcPr>
          <w:p w14:paraId="5EF4BB2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三、各證券商訂立內部控制制度時，應於總則部分至少敘明下列事項：</w:t>
            </w:r>
          </w:p>
        </w:tc>
        <w:tc>
          <w:tcPr>
            <w:tcW w:w="2023" w:type="dxa"/>
            <w:vMerge/>
            <w:tcBorders>
              <w:right w:val="single" w:sz="12" w:space="0" w:color="auto"/>
            </w:tcBorders>
          </w:tcPr>
          <w:p w14:paraId="6DBCC5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9E3E06" w14:textId="77777777">
        <w:tc>
          <w:tcPr>
            <w:tcW w:w="1384" w:type="dxa"/>
            <w:vMerge/>
            <w:tcBorders>
              <w:left w:val="single" w:sz="12" w:space="0" w:color="auto"/>
            </w:tcBorders>
          </w:tcPr>
          <w:p w14:paraId="10CBB60E" w14:textId="77777777" w:rsidR="003B3105" w:rsidRDefault="003B3105" w:rsidP="001E533B">
            <w:pPr>
              <w:rPr>
                <w:rFonts w:ascii="新細明體" w:eastAsia="新細明體" w:hAnsi="新細明體"/>
              </w:rPr>
            </w:pPr>
          </w:p>
        </w:tc>
        <w:tc>
          <w:tcPr>
            <w:tcW w:w="1276" w:type="dxa"/>
            <w:vMerge/>
          </w:tcPr>
          <w:p w14:paraId="721403BC" w14:textId="77777777" w:rsidR="003B3105" w:rsidRDefault="003B3105" w:rsidP="001E533B">
            <w:pPr>
              <w:rPr>
                <w:rFonts w:ascii="新細明體" w:eastAsia="新細明體" w:hAnsi="新細明體"/>
              </w:rPr>
            </w:pPr>
          </w:p>
        </w:tc>
        <w:tc>
          <w:tcPr>
            <w:tcW w:w="5386" w:type="dxa"/>
            <w:tcBorders>
              <w:top w:val="nil"/>
              <w:bottom w:val="nil"/>
            </w:tcBorders>
          </w:tcPr>
          <w:p w14:paraId="04E03C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(一)訂定依據(請參閱證券商管理規則第二條之規定)</w:t>
            </w:r>
          </w:p>
        </w:tc>
        <w:tc>
          <w:tcPr>
            <w:tcW w:w="5387" w:type="dxa"/>
            <w:tcBorders>
              <w:top w:val="nil"/>
              <w:bottom w:val="nil"/>
            </w:tcBorders>
          </w:tcPr>
          <w:p w14:paraId="297F03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(一)訂定依據(請參閱證券商管理規則第二條之規定)</w:t>
            </w:r>
          </w:p>
        </w:tc>
        <w:tc>
          <w:tcPr>
            <w:tcW w:w="2023" w:type="dxa"/>
            <w:vMerge/>
            <w:tcBorders>
              <w:right w:val="single" w:sz="12" w:space="0" w:color="auto"/>
            </w:tcBorders>
          </w:tcPr>
          <w:p w14:paraId="08B054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13CD8E" w14:textId="77777777">
        <w:tc>
          <w:tcPr>
            <w:tcW w:w="1384" w:type="dxa"/>
            <w:vMerge/>
            <w:tcBorders>
              <w:left w:val="single" w:sz="12" w:space="0" w:color="auto"/>
            </w:tcBorders>
          </w:tcPr>
          <w:p w14:paraId="24BE4D4A" w14:textId="77777777" w:rsidR="003B3105" w:rsidRDefault="003B3105" w:rsidP="001E533B">
            <w:pPr>
              <w:rPr>
                <w:rFonts w:ascii="新細明體" w:eastAsia="新細明體" w:hAnsi="新細明體"/>
              </w:rPr>
            </w:pPr>
          </w:p>
        </w:tc>
        <w:tc>
          <w:tcPr>
            <w:tcW w:w="1276" w:type="dxa"/>
            <w:vMerge/>
          </w:tcPr>
          <w:p w14:paraId="33A7D2F2" w14:textId="77777777" w:rsidR="003B3105" w:rsidRDefault="003B3105" w:rsidP="001E533B">
            <w:pPr>
              <w:rPr>
                <w:rFonts w:ascii="新細明體" w:eastAsia="新細明體" w:hAnsi="新細明體"/>
              </w:rPr>
            </w:pPr>
          </w:p>
        </w:tc>
        <w:tc>
          <w:tcPr>
            <w:tcW w:w="5386" w:type="dxa"/>
            <w:tcBorders>
              <w:top w:val="nil"/>
              <w:bottom w:val="nil"/>
            </w:tcBorders>
          </w:tcPr>
          <w:p w14:paraId="4854573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(二)內部控制制度之定義、通過程序及設計暨執行準則</w:t>
            </w:r>
          </w:p>
        </w:tc>
        <w:tc>
          <w:tcPr>
            <w:tcW w:w="5387" w:type="dxa"/>
            <w:tcBorders>
              <w:top w:val="nil"/>
              <w:bottom w:val="nil"/>
            </w:tcBorders>
          </w:tcPr>
          <w:p w14:paraId="66A1E5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(二)內部控制制度之定義、通過程序及設計暨執行準則</w:t>
            </w:r>
          </w:p>
        </w:tc>
        <w:tc>
          <w:tcPr>
            <w:tcW w:w="2023" w:type="dxa"/>
            <w:vMerge/>
            <w:tcBorders>
              <w:right w:val="single" w:sz="12" w:space="0" w:color="auto"/>
            </w:tcBorders>
          </w:tcPr>
          <w:p w14:paraId="6BE916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A153C2" w14:textId="77777777">
        <w:tc>
          <w:tcPr>
            <w:tcW w:w="1384" w:type="dxa"/>
            <w:vMerge/>
            <w:tcBorders>
              <w:left w:val="single" w:sz="12" w:space="0" w:color="auto"/>
            </w:tcBorders>
          </w:tcPr>
          <w:p w14:paraId="5AC1BDCA" w14:textId="77777777" w:rsidR="003B3105" w:rsidRDefault="003B3105" w:rsidP="001E533B">
            <w:pPr>
              <w:rPr>
                <w:rFonts w:ascii="新細明體" w:eastAsia="新細明體" w:hAnsi="新細明體"/>
              </w:rPr>
            </w:pPr>
          </w:p>
        </w:tc>
        <w:tc>
          <w:tcPr>
            <w:tcW w:w="1276" w:type="dxa"/>
            <w:vMerge/>
          </w:tcPr>
          <w:p w14:paraId="559ADC3A" w14:textId="77777777" w:rsidR="003B3105" w:rsidRDefault="003B3105" w:rsidP="001E533B">
            <w:pPr>
              <w:rPr>
                <w:rFonts w:ascii="新細明體" w:eastAsia="新細明體" w:hAnsi="新細明體"/>
              </w:rPr>
            </w:pPr>
          </w:p>
        </w:tc>
        <w:tc>
          <w:tcPr>
            <w:tcW w:w="5386" w:type="dxa"/>
            <w:tcBorders>
              <w:top w:val="nil"/>
              <w:bottom w:val="nil"/>
            </w:tcBorders>
          </w:tcPr>
          <w:p w14:paraId="30FF81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(三)內部控制之組成要素</w:t>
            </w:r>
          </w:p>
        </w:tc>
        <w:tc>
          <w:tcPr>
            <w:tcW w:w="5387" w:type="dxa"/>
            <w:tcBorders>
              <w:top w:val="nil"/>
              <w:bottom w:val="nil"/>
            </w:tcBorders>
          </w:tcPr>
          <w:p w14:paraId="552547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(三)內部控制之組成要素</w:t>
            </w:r>
          </w:p>
        </w:tc>
        <w:tc>
          <w:tcPr>
            <w:tcW w:w="2023" w:type="dxa"/>
            <w:vMerge/>
            <w:tcBorders>
              <w:right w:val="single" w:sz="12" w:space="0" w:color="auto"/>
            </w:tcBorders>
          </w:tcPr>
          <w:p w14:paraId="123252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9359DA" w14:textId="77777777">
        <w:tc>
          <w:tcPr>
            <w:tcW w:w="1384" w:type="dxa"/>
            <w:vMerge/>
            <w:tcBorders>
              <w:left w:val="single" w:sz="12" w:space="0" w:color="auto"/>
            </w:tcBorders>
          </w:tcPr>
          <w:p w14:paraId="5B16F5CB" w14:textId="77777777" w:rsidR="003B3105" w:rsidRDefault="003B3105" w:rsidP="001E533B">
            <w:pPr>
              <w:rPr>
                <w:rFonts w:ascii="新細明體" w:eastAsia="新細明體" w:hAnsi="新細明體"/>
              </w:rPr>
            </w:pPr>
          </w:p>
        </w:tc>
        <w:tc>
          <w:tcPr>
            <w:tcW w:w="1276" w:type="dxa"/>
            <w:vMerge/>
          </w:tcPr>
          <w:p w14:paraId="1AE04F0E" w14:textId="77777777" w:rsidR="003B3105" w:rsidRDefault="003B3105" w:rsidP="001E533B">
            <w:pPr>
              <w:rPr>
                <w:rFonts w:ascii="新細明體" w:eastAsia="新細明體" w:hAnsi="新細明體"/>
              </w:rPr>
            </w:pPr>
          </w:p>
        </w:tc>
        <w:tc>
          <w:tcPr>
            <w:tcW w:w="5386" w:type="dxa"/>
            <w:tcBorders>
              <w:top w:val="nil"/>
              <w:bottom w:val="nil"/>
            </w:tcBorders>
          </w:tcPr>
          <w:p w14:paraId="2A458B8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(四)公司組織結構與部門職掌</w:t>
            </w:r>
          </w:p>
        </w:tc>
        <w:tc>
          <w:tcPr>
            <w:tcW w:w="5387" w:type="dxa"/>
            <w:tcBorders>
              <w:top w:val="nil"/>
              <w:bottom w:val="nil"/>
            </w:tcBorders>
          </w:tcPr>
          <w:p w14:paraId="490774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(四)公司組織結構與部門職掌</w:t>
            </w:r>
          </w:p>
        </w:tc>
        <w:tc>
          <w:tcPr>
            <w:tcW w:w="2023" w:type="dxa"/>
            <w:vMerge/>
            <w:tcBorders>
              <w:right w:val="single" w:sz="12" w:space="0" w:color="auto"/>
            </w:tcBorders>
          </w:tcPr>
          <w:p w14:paraId="3E0533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F38A76" w14:textId="77777777">
        <w:tc>
          <w:tcPr>
            <w:tcW w:w="1384" w:type="dxa"/>
            <w:vMerge/>
            <w:tcBorders>
              <w:left w:val="single" w:sz="12" w:space="0" w:color="auto"/>
            </w:tcBorders>
          </w:tcPr>
          <w:p w14:paraId="77EAFE4C" w14:textId="77777777" w:rsidR="003B3105" w:rsidRDefault="003B3105" w:rsidP="001E533B">
            <w:pPr>
              <w:rPr>
                <w:rFonts w:ascii="新細明體" w:eastAsia="新細明體" w:hAnsi="新細明體"/>
              </w:rPr>
            </w:pPr>
          </w:p>
        </w:tc>
        <w:tc>
          <w:tcPr>
            <w:tcW w:w="1276" w:type="dxa"/>
            <w:vMerge/>
          </w:tcPr>
          <w:p w14:paraId="0D2A9E5A" w14:textId="77777777" w:rsidR="003B3105" w:rsidRDefault="003B3105" w:rsidP="001E533B">
            <w:pPr>
              <w:rPr>
                <w:rFonts w:ascii="新細明體" w:eastAsia="新細明體" w:hAnsi="新細明體"/>
              </w:rPr>
            </w:pPr>
          </w:p>
        </w:tc>
        <w:tc>
          <w:tcPr>
            <w:tcW w:w="5386" w:type="dxa"/>
            <w:tcBorders>
              <w:top w:val="nil"/>
              <w:bottom w:val="nil"/>
            </w:tcBorders>
          </w:tcPr>
          <w:p w14:paraId="3709962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(五)業務經營原則與方針</w:t>
            </w:r>
          </w:p>
        </w:tc>
        <w:tc>
          <w:tcPr>
            <w:tcW w:w="5387" w:type="dxa"/>
            <w:tcBorders>
              <w:top w:val="nil"/>
              <w:bottom w:val="nil"/>
            </w:tcBorders>
          </w:tcPr>
          <w:p w14:paraId="05D2E7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(五)業務經營原則與方針</w:t>
            </w:r>
          </w:p>
        </w:tc>
        <w:tc>
          <w:tcPr>
            <w:tcW w:w="2023" w:type="dxa"/>
            <w:vMerge/>
            <w:tcBorders>
              <w:right w:val="single" w:sz="12" w:space="0" w:color="auto"/>
            </w:tcBorders>
          </w:tcPr>
          <w:p w14:paraId="070DF1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DAC83D" w14:textId="77777777">
        <w:tc>
          <w:tcPr>
            <w:tcW w:w="1384" w:type="dxa"/>
            <w:vMerge/>
            <w:tcBorders>
              <w:left w:val="single" w:sz="12" w:space="0" w:color="auto"/>
            </w:tcBorders>
          </w:tcPr>
          <w:p w14:paraId="66139C9E" w14:textId="77777777" w:rsidR="003B3105" w:rsidRDefault="003B3105" w:rsidP="001E533B">
            <w:pPr>
              <w:rPr>
                <w:rFonts w:ascii="新細明體" w:eastAsia="新細明體" w:hAnsi="新細明體"/>
              </w:rPr>
            </w:pPr>
          </w:p>
        </w:tc>
        <w:tc>
          <w:tcPr>
            <w:tcW w:w="1276" w:type="dxa"/>
            <w:vMerge/>
          </w:tcPr>
          <w:p w14:paraId="196C4BBE" w14:textId="77777777" w:rsidR="003B3105" w:rsidRDefault="003B3105" w:rsidP="001E533B">
            <w:pPr>
              <w:rPr>
                <w:rFonts w:ascii="新細明體" w:eastAsia="新細明體" w:hAnsi="新細明體"/>
              </w:rPr>
            </w:pPr>
          </w:p>
        </w:tc>
        <w:tc>
          <w:tcPr>
            <w:tcW w:w="5386" w:type="dxa"/>
            <w:tcBorders>
              <w:top w:val="nil"/>
              <w:bottom w:val="nil"/>
            </w:tcBorders>
          </w:tcPr>
          <w:p w14:paraId="6AA272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(六)內部控制制度之內容</w:t>
            </w:r>
          </w:p>
        </w:tc>
        <w:tc>
          <w:tcPr>
            <w:tcW w:w="5387" w:type="dxa"/>
            <w:tcBorders>
              <w:top w:val="nil"/>
              <w:bottom w:val="nil"/>
            </w:tcBorders>
          </w:tcPr>
          <w:p w14:paraId="751113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(六)內部控制制度之內容</w:t>
            </w:r>
          </w:p>
        </w:tc>
        <w:tc>
          <w:tcPr>
            <w:tcW w:w="2023" w:type="dxa"/>
            <w:vMerge/>
            <w:tcBorders>
              <w:right w:val="single" w:sz="12" w:space="0" w:color="auto"/>
            </w:tcBorders>
          </w:tcPr>
          <w:p w14:paraId="2B1356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8AA706" w14:textId="77777777">
        <w:tc>
          <w:tcPr>
            <w:tcW w:w="1384" w:type="dxa"/>
            <w:vMerge/>
            <w:tcBorders>
              <w:left w:val="single" w:sz="12" w:space="0" w:color="auto"/>
            </w:tcBorders>
          </w:tcPr>
          <w:p w14:paraId="274086C2" w14:textId="77777777" w:rsidR="003B3105" w:rsidRDefault="003B3105" w:rsidP="001E533B">
            <w:pPr>
              <w:rPr>
                <w:rFonts w:ascii="新細明體" w:eastAsia="新細明體" w:hAnsi="新細明體"/>
              </w:rPr>
            </w:pPr>
          </w:p>
        </w:tc>
        <w:tc>
          <w:tcPr>
            <w:tcW w:w="1276" w:type="dxa"/>
            <w:vMerge/>
          </w:tcPr>
          <w:p w14:paraId="717E7599" w14:textId="77777777" w:rsidR="003B3105" w:rsidRDefault="003B3105" w:rsidP="001E533B">
            <w:pPr>
              <w:rPr>
                <w:rFonts w:ascii="新細明體" w:eastAsia="新細明體" w:hAnsi="新細明體"/>
              </w:rPr>
            </w:pPr>
          </w:p>
        </w:tc>
        <w:tc>
          <w:tcPr>
            <w:tcW w:w="5386" w:type="dxa"/>
            <w:tcBorders>
              <w:top w:val="nil"/>
              <w:bottom w:val="nil"/>
            </w:tcBorders>
          </w:tcPr>
          <w:p w14:paraId="1B7266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(七)內部控制制度之設計</w:t>
            </w:r>
          </w:p>
        </w:tc>
        <w:tc>
          <w:tcPr>
            <w:tcW w:w="5387" w:type="dxa"/>
            <w:tcBorders>
              <w:top w:val="nil"/>
              <w:bottom w:val="nil"/>
            </w:tcBorders>
          </w:tcPr>
          <w:p w14:paraId="0ED1D5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(七)內部控制制度之設計</w:t>
            </w:r>
          </w:p>
        </w:tc>
        <w:tc>
          <w:tcPr>
            <w:tcW w:w="2023" w:type="dxa"/>
            <w:vMerge/>
            <w:tcBorders>
              <w:right w:val="single" w:sz="12" w:space="0" w:color="auto"/>
            </w:tcBorders>
          </w:tcPr>
          <w:p w14:paraId="22E703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DB1C0E" w14:textId="77777777">
        <w:tc>
          <w:tcPr>
            <w:tcW w:w="1384" w:type="dxa"/>
            <w:vMerge/>
            <w:tcBorders>
              <w:left w:val="single" w:sz="12" w:space="0" w:color="auto"/>
            </w:tcBorders>
          </w:tcPr>
          <w:p w14:paraId="49363DD6" w14:textId="77777777" w:rsidR="003B3105" w:rsidRDefault="003B3105" w:rsidP="001E533B">
            <w:pPr>
              <w:rPr>
                <w:rFonts w:ascii="新細明體" w:eastAsia="新細明體" w:hAnsi="新細明體"/>
              </w:rPr>
            </w:pPr>
          </w:p>
        </w:tc>
        <w:tc>
          <w:tcPr>
            <w:tcW w:w="1276" w:type="dxa"/>
            <w:vMerge/>
          </w:tcPr>
          <w:p w14:paraId="40EF1E79" w14:textId="77777777" w:rsidR="003B3105" w:rsidRDefault="003B3105" w:rsidP="001E533B">
            <w:pPr>
              <w:rPr>
                <w:rFonts w:ascii="新細明體" w:eastAsia="新細明體" w:hAnsi="新細明體"/>
              </w:rPr>
            </w:pPr>
          </w:p>
        </w:tc>
        <w:tc>
          <w:tcPr>
            <w:tcW w:w="5386" w:type="dxa"/>
            <w:tcBorders>
              <w:top w:val="nil"/>
              <w:bottom w:val="nil"/>
            </w:tcBorders>
          </w:tcPr>
          <w:p w14:paraId="3070D8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(八)內部稽核單位之目的、職權及責任</w:t>
            </w:r>
          </w:p>
        </w:tc>
        <w:tc>
          <w:tcPr>
            <w:tcW w:w="5387" w:type="dxa"/>
            <w:tcBorders>
              <w:top w:val="nil"/>
              <w:bottom w:val="nil"/>
            </w:tcBorders>
          </w:tcPr>
          <w:p w14:paraId="743750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(八)內部稽核單位之目的、職權及責任</w:t>
            </w:r>
          </w:p>
        </w:tc>
        <w:tc>
          <w:tcPr>
            <w:tcW w:w="2023" w:type="dxa"/>
            <w:vMerge/>
            <w:tcBorders>
              <w:right w:val="single" w:sz="12" w:space="0" w:color="auto"/>
            </w:tcBorders>
          </w:tcPr>
          <w:p w14:paraId="091565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2E0FC2" w14:textId="77777777">
        <w:tc>
          <w:tcPr>
            <w:tcW w:w="1384" w:type="dxa"/>
            <w:vMerge/>
            <w:tcBorders>
              <w:left w:val="single" w:sz="12" w:space="0" w:color="auto"/>
            </w:tcBorders>
          </w:tcPr>
          <w:p w14:paraId="34CFEE99" w14:textId="77777777" w:rsidR="003B3105" w:rsidRDefault="003B3105" w:rsidP="001E533B">
            <w:pPr>
              <w:rPr>
                <w:rFonts w:ascii="新細明體" w:eastAsia="新細明體" w:hAnsi="新細明體"/>
              </w:rPr>
            </w:pPr>
          </w:p>
        </w:tc>
        <w:tc>
          <w:tcPr>
            <w:tcW w:w="1276" w:type="dxa"/>
            <w:vMerge/>
          </w:tcPr>
          <w:p w14:paraId="28012F30" w14:textId="77777777" w:rsidR="003B3105" w:rsidRDefault="003B3105" w:rsidP="001E533B">
            <w:pPr>
              <w:rPr>
                <w:rFonts w:ascii="新細明體" w:eastAsia="新細明體" w:hAnsi="新細明體"/>
              </w:rPr>
            </w:pPr>
          </w:p>
        </w:tc>
        <w:tc>
          <w:tcPr>
            <w:tcW w:w="5386" w:type="dxa"/>
            <w:tcBorders>
              <w:top w:val="nil"/>
              <w:bottom w:val="nil"/>
            </w:tcBorders>
          </w:tcPr>
          <w:p w14:paraId="507C02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(九)內部稽核作業適用範圍</w:t>
            </w:r>
          </w:p>
        </w:tc>
        <w:tc>
          <w:tcPr>
            <w:tcW w:w="5387" w:type="dxa"/>
            <w:tcBorders>
              <w:top w:val="nil"/>
              <w:bottom w:val="nil"/>
            </w:tcBorders>
          </w:tcPr>
          <w:p w14:paraId="4077EB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(九)內部稽核作業適用範圍</w:t>
            </w:r>
          </w:p>
        </w:tc>
        <w:tc>
          <w:tcPr>
            <w:tcW w:w="2023" w:type="dxa"/>
            <w:vMerge/>
            <w:tcBorders>
              <w:right w:val="single" w:sz="12" w:space="0" w:color="auto"/>
            </w:tcBorders>
          </w:tcPr>
          <w:p w14:paraId="539048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76F0F8" w14:textId="77777777">
        <w:tc>
          <w:tcPr>
            <w:tcW w:w="1384" w:type="dxa"/>
            <w:vMerge/>
            <w:tcBorders>
              <w:left w:val="single" w:sz="12" w:space="0" w:color="auto"/>
            </w:tcBorders>
          </w:tcPr>
          <w:p w14:paraId="3F1F79C4" w14:textId="77777777" w:rsidR="003B3105" w:rsidRDefault="003B3105" w:rsidP="001E533B">
            <w:pPr>
              <w:rPr>
                <w:rFonts w:ascii="新細明體" w:eastAsia="新細明體" w:hAnsi="新細明體"/>
              </w:rPr>
            </w:pPr>
          </w:p>
        </w:tc>
        <w:tc>
          <w:tcPr>
            <w:tcW w:w="1276" w:type="dxa"/>
            <w:vMerge/>
          </w:tcPr>
          <w:p w14:paraId="358F2A72" w14:textId="77777777" w:rsidR="003B3105" w:rsidRDefault="003B3105" w:rsidP="001E533B">
            <w:pPr>
              <w:rPr>
                <w:rFonts w:ascii="新細明體" w:eastAsia="新細明體" w:hAnsi="新細明體"/>
              </w:rPr>
            </w:pPr>
          </w:p>
        </w:tc>
        <w:tc>
          <w:tcPr>
            <w:tcW w:w="5386" w:type="dxa"/>
            <w:tcBorders>
              <w:top w:val="nil"/>
              <w:bottom w:val="nil"/>
            </w:tcBorders>
          </w:tcPr>
          <w:p w14:paraId="505C33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(十)內部稽核之職能</w:t>
            </w:r>
          </w:p>
        </w:tc>
        <w:tc>
          <w:tcPr>
            <w:tcW w:w="5387" w:type="dxa"/>
            <w:tcBorders>
              <w:top w:val="nil"/>
              <w:bottom w:val="nil"/>
            </w:tcBorders>
          </w:tcPr>
          <w:p w14:paraId="7C3EF7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(十)內部稽核之職能</w:t>
            </w:r>
          </w:p>
        </w:tc>
        <w:tc>
          <w:tcPr>
            <w:tcW w:w="2023" w:type="dxa"/>
            <w:vMerge/>
            <w:tcBorders>
              <w:right w:val="single" w:sz="12" w:space="0" w:color="auto"/>
            </w:tcBorders>
          </w:tcPr>
          <w:p w14:paraId="16B3B0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F8EE0E" w14:textId="77777777">
        <w:tc>
          <w:tcPr>
            <w:tcW w:w="1384" w:type="dxa"/>
            <w:vMerge/>
            <w:tcBorders>
              <w:left w:val="single" w:sz="12" w:space="0" w:color="auto"/>
            </w:tcBorders>
          </w:tcPr>
          <w:p w14:paraId="1C071DAE" w14:textId="77777777" w:rsidR="003B3105" w:rsidRDefault="003B3105" w:rsidP="001E533B">
            <w:pPr>
              <w:rPr>
                <w:rFonts w:ascii="新細明體" w:eastAsia="新細明體" w:hAnsi="新細明體"/>
              </w:rPr>
            </w:pPr>
          </w:p>
        </w:tc>
        <w:tc>
          <w:tcPr>
            <w:tcW w:w="1276" w:type="dxa"/>
            <w:vMerge/>
          </w:tcPr>
          <w:p w14:paraId="580A6FE8" w14:textId="77777777" w:rsidR="003B3105" w:rsidRDefault="003B3105" w:rsidP="001E533B">
            <w:pPr>
              <w:rPr>
                <w:rFonts w:ascii="新細明體" w:eastAsia="新細明體" w:hAnsi="新細明體"/>
              </w:rPr>
            </w:pPr>
          </w:p>
        </w:tc>
        <w:tc>
          <w:tcPr>
            <w:tcW w:w="5386" w:type="dxa"/>
            <w:tcBorders>
              <w:top w:val="nil"/>
              <w:bottom w:val="nil"/>
            </w:tcBorders>
          </w:tcPr>
          <w:p w14:paraId="2373ED0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(十一)稽核人員之職責</w:t>
            </w:r>
          </w:p>
        </w:tc>
        <w:tc>
          <w:tcPr>
            <w:tcW w:w="5387" w:type="dxa"/>
            <w:tcBorders>
              <w:top w:val="nil"/>
              <w:bottom w:val="nil"/>
            </w:tcBorders>
          </w:tcPr>
          <w:p w14:paraId="3157EB0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(十一)稽核人員之職責</w:t>
            </w:r>
          </w:p>
        </w:tc>
        <w:tc>
          <w:tcPr>
            <w:tcW w:w="2023" w:type="dxa"/>
            <w:vMerge/>
            <w:tcBorders>
              <w:right w:val="single" w:sz="12" w:space="0" w:color="auto"/>
            </w:tcBorders>
          </w:tcPr>
          <w:p w14:paraId="14E101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418AAA" w14:textId="77777777">
        <w:tc>
          <w:tcPr>
            <w:tcW w:w="1384" w:type="dxa"/>
            <w:vMerge/>
            <w:tcBorders>
              <w:left w:val="single" w:sz="12" w:space="0" w:color="auto"/>
            </w:tcBorders>
          </w:tcPr>
          <w:p w14:paraId="66D15CB6" w14:textId="77777777" w:rsidR="003B3105" w:rsidRDefault="003B3105" w:rsidP="001E533B">
            <w:pPr>
              <w:rPr>
                <w:rFonts w:ascii="新細明體" w:eastAsia="新細明體" w:hAnsi="新細明體"/>
              </w:rPr>
            </w:pPr>
          </w:p>
        </w:tc>
        <w:tc>
          <w:tcPr>
            <w:tcW w:w="1276" w:type="dxa"/>
            <w:vMerge/>
          </w:tcPr>
          <w:p w14:paraId="08DE92DA" w14:textId="77777777" w:rsidR="003B3105" w:rsidRDefault="003B3105" w:rsidP="001E533B">
            <w:pPr>
              <w:rPr>
                <w:rFonts w:ascii="新細明體" w:eastAsia="新細明體" w:hAnsi="新細明體"/>
              </w:rPr>
            </w:pPr>
          </w:p>
        </w:tc>
        <w:tc>
          <w:tcPr>
            <w:tcW w:w="5386" w:type="dxa"/>
            <w:tcBorders>
              <w:top w:val="nil"/>
              <w:bottom w:val="nil"/>
            </w:tcBorders>
          </w:tcPr>
          <w:p w14:paraId="5DB47BC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(十二)稽核人員應注意事項</w:t>
            </w:r>
          </w:p>
        </w:tc>
        <w:tc>
          <w:tcPr>
            <w:tcW w:w="5387" w:type="dxa"/>
            <w:tcBorders>
              <w:top w:val="nil"/>
              <w:bottom w:val="nil"/>
            </w:tcBorders>
          </w:tcPr>
          <w:p w14:paraId="6FFD5F2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(十二)稽核人員應注意事項</w:t>
            </w:r>
          </w:p>
        </w:tc>
        <w:tc>
          <w:tcPr>
            <w:tcW w:w="2023" w:type="dxa"/>
            <w:vMerge/>
            <w:tcBorders>
              <w:right w:val="single" w:sz="12" w:space="0" w:color="auto"/>
            </w:tcBorders>
          </w:tcPr>
          <w:p w14:paraId="663932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B31DC4" w14:textId="77777777">
        <w:tc>
          <w:tcPr>
            <w:tcW w:w="1384" w:type="dxa"/>
            <w:vMerge/>
            <w:tcBorders>
              <w:left w:val="single" w:sz="12" w:space="0" w:color="auto"/>
            </w:tcBorders>
          </w:tcPr>
          <w:p w14:paraId="5C717E36" w14:textId="77777777" w:rsidR="003B3105" w:rsidRDefault="003B3105" w:rsidP="001E533B">
            <w:pPr>
              <w:rPr>
                <w:rFonts w:ascii="新細明體" w:eastAsia="新細明體" w:hAnsi="新細明體"/>
              </w:rPr>
            </w:pPr>
          </w:p>
        </w:tc>
        <w:tc>
          <w:tcPr>
            <w:tcW w:w="1276" w:type="dxa"/>
            <w:vMerge/>
          </w:tcPr>
          <w:p w14:paraId="0903D163" w14:textId="77777777" w:rsidR="003B3105" w:rsidRDefault="003B3105" w:rsidP="001E533B">
            <w:pPr>
              <w:rPr>
                <w:rFonts w:ascii="新細明體" w:eastAsia="新細明體" w:hAnsi="新細明體"/>
              </w:rPr>
            </w:pPr>
          </w:p>
        </w:tc>
        <w:tc>
          <w:tcPr>
            <w:tcW w:w="5386" w:type="dxa"/>
            <w:tcBorders>
              <w:top w:val="nil"/>
              <w:bottom w:val="nil"/>
            </w:tcBorders>
          </w:tcPr>
          <w:p w14:paraId="7284686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(十三)分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不設專職內部稽核人員規範（註：不採此種查核方式者免列）</w:t>
            </w:r>
          </w:p>
        </w:tc>
        <w:tc>
          <w:tcPr>
            <w:tcW w:w="5387" w:type="dxa"/>
            <w:tcBorders>
              <w:top w:val="nil"/>
              <w:bottom w:val="nil"/>
            </w:tcBorders>
          </w:tcPr>
          <w:p w14:paraId="5CA716E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(十三)分</w:t>
            </w:r>
            <w:r>
              <w:rPr>
                <w:rFonts w:ascii="新細明體" w:eastAsia="新細明體" w:hAnsi="新細明體" w:cs="新細明體" w:hint="eastAsia"/>
                <w:b/>
                <w:color w:val="FF0000"/>
              </w:rPr>
              <w:t>公司</w:t>
            </w:r>
            <w:r>
              <w:rPr>
                <w:rFonts w:ascii="新細明體" w:eastAsia="新細明體" w:hAnsi="新細明體" w:cs="新細明體" w:hint="eastAsia"/>
              </w:rPr>
              <w:t>不設專職內部稽核人員規範（註：不採此種查核方式者免列）</w:t>
            </w:r>
          </w:p>
        </w:tc>
        <w:tc>
          <w:tcPr>
            <w:tcW w:w="2023" w:type="dxa"/>
            <w:vMerge/>
            <w:tcBorders>
              <w:right w:val="single" w:sz="12" w:space="0" w:color="auto"/>
            </w:tcBorders>
          </w:tcPr>
          <w:p w14:paraId="11269F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81FBC3" w14:textId="77777777">
        <w:tc>
          <w:tcPr>
            <w:tcW w:w="1384" w:type="dxa"/>
            <w:vMerge/>
            <w:tcBorders>
              <w:left w:val="single" w:sz="12" w:space="0" w:color="auto"/>
            </w:tcBorders>
          </w:tcPr>
          <w:p w14:paraId="1F898FD8" w14:textId="77777777" w:rsidR="003B3105" w:rsidRDefault="003B3105" w:rsidP="001E533B">
            <w:pPr>
              <w:rPr>
                <w:rFonts w:ascii="新細明體" w:eastAsia="新細明體" w:hAnsi="新細明體"/>
              </w:rPr>
            </w:pPr>
          </w:p>
        </w:tc>
        <w:tc>
          <w:tcPr>
            <w:tcW w:w="1276" w:type="dxa"/>
            <w:vMerge/>
          </w:tcPr>
          <w:p w14:paraId="7B600850" w14:textId="77777777" w:rsidR="003B3105" w:rsidRDefault="003B3105" w:rsidP="001E533B">
            <w:pPr>
              <w:rPr>
                <w:rFonts w:ascii="新細明體" w:eastAsia="新細明體" w:hAnsi="新細明體"/>
              </w:rPr>
            </w:pPr>
          </w:p>
        </w:tc>
        <w:tc>
          <w:tcPr>
            <w:tcW w:w="5386" w:type="dxa"/>
            <w:tcBorders>
              <w:top w:val="nil"/>
              <w:bottom w:val="nil"/>
            </w:tcBorders>
          </w:tcPr>
          <w:p w14:paraId="2E2BE3C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(十四)自行評估及內部控制制度聲明書</w:t>
            </w:r>
          </w:p>
        </w:tc>
        <w:tc>
          <w:tcPr>
            <w:tcW w:w="5387" w:type="dxa"/>
            <w:tcBorders>
              <w:top w:val="nil"/>
              <w:bottom w:val="nil"/>
            </w:tcBorders>
          </w:tcPr>
          <w:p w14:paraId="64CDB60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(十四)自行評估及內部控制制度聲明書</w:t>
            </w:r>
          </w:p>
        </w:tc>
        <w:tc>
          <w:tcPr>
            <w:tcW w:w="2023" w:type="dxa"/>
            <w:vMerge/>
            <w:tcBorders>
              <w:right w:val="single" w:sz="12" w:space="0" w:color="auto"/>
            </w:tcBorders>
          </w:tcPr>
          <w:p w14:paraId="42CD5D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CA932C" w14:textId="77777777">
        <w:tc>
          <w:tcPr>
            <w:tcW w:w="1384" w:type="dxa"/>
            <w:vMerge/>
            <w:tcBorders>
              <w:left w:val="single" w:sz="12" w:space="0" w:color="auto"/>
            </w:tcBorders>
          </w:tcPr>
          <w:p w14:paraId="24A4540A" w14:textId="77777777" w:rsidR="003B3105" w:rsidRDefault="003B3105" w:rsidP="001E533B">
            <w:pPr>
              <w:rPr>
                <w:rFonts w:ascii="新細明體" w:eastAsia="新細明體" w:hAnsi="新細明體"/>
              </w:rPr>
            </w:pPr>
          </w:p>
        </w:tc>
        <w:tc>
          <w:tcPr>
            <w:tcW w:w="1276" w:type="dxa"/>
            <w:vMerge/>
          </w:tcPr>
          <w:p w14:paraId="4F38C233" w14:textId="77777777" w:rsidR="003B3105" w:rsidRDefault="003B3105" w:rsidP="001E533B">
            <w:pPr>
              <w:rPr>
                <w:rFonts w:ascii="新細明體" w:eastAsia="新細明體" w:hAnsi="新細明體"/>
              </w:rPr>
            </w:pPr>
          </w:p>
        </w:tc>
        <w:tc>
          <w:tcPr>
            <w:tcW w:w="5386" w:type="dxa"/>
            <w:tcBorders>
              <w:top w:val="nil"/>
              <w:bottom w:val="nil"/>
            </w:tcBorders>
          </w:tcPr>
          <w:p w14:paraId="4F7EEBB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(十五)證券商公司治理</w:t>
            </w:r>
          </w:p>
        </w:tc>
        <w:tc>
          <w:tcPr>
            <w:tcW w:w="5387" w:type="dxa"/>
            <w:tcBorders>
              <w:top w:val="nil"/>
              <w:bottom w:val="nil"/>
            </w:tcBorders>
          </w:tcPr>
          <w:p w14:paraId="532535A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(十五)證券商公司治理</w:t>
            </w:r>
          </w:p>
        </w:tc>
        <w:tc>
          <w:tcPr>
            <w:tcW w:w="2023" w:type="dxa"/>
            <w:vMerge/>
            <w:tcBorders>
              <w:right w:val="single" w:sz="12" w:space="0" w:color="auto"/>
            </w:tcBorders>
          </w:tcPr>
          <w:p w14:paraId="55890D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056E3C" w14:textId="77777777">
        <w:tc>
          <w:tcPr>
            <w:tcW w:w="1384" w:type="dxa"/>
            <w:vMerge/>
            <w:tcBorders>
              <w:left w:val="single" w:sz="12" w:space="0" w:color="auto"/>
            </w:tcBorders>
          </w:tcPr>
          <w:p w14:paraId="477CB814" w14:textId="77777777" w:rsidR="003B3105" w:rsidRDefault="003B3105" w:rsidP="001E533B">
            <w:pPr>
              <w:rPr>
                <w:rFonts w:ascii="新細明體" w:eastAsia="新細明體" w:hAnsi="新細明體"/>
              </w:rPr>
            </w:pPr>
          </w:p>
        </w:tc>
        <w:tc>
          <w:tcPr>
            <w:tcW w:w="1276" w:type="dxa"/>
            <w:vMerge/>
          </w:tcPr>
          <w:p w14:paraId="16AEC0D8" w14:textId="77777777" w:rsidR="003B3105" w:rsidRDefault="003B3105" w:rsidP="001E533B">
            <w:pPr>
              <w:rPr>
                <w:rFonts w:ascii="新細明體" w:eastAsia="新細明體" w:hAnsi="新細明體"/>
              </w:rPr>
            </w:pPr>
          </w:p>
        </w:tc>
        <w:tc>
          <w:tcPr>
            <w:tcW w:w="5386" w:type="dxa"/>
            <w:tcBorders>
              <w:top w:val="nil"/>
              <w:bottom w:val="nil"/>
            </w:tcBorders>
          </w:tcPr>
          <w:p w14:paraId="4928CF5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四、內部控制制度之定義、通過程序及設計暨執行準則：</w:t>
            </w:r>
          </w:p>
        </w:tc>
        <w:tc>
          <w:tcPr>
            <w:tcW w:w="5387" w:type="dxa"/>
            <w:tcBorders>
              <w:top w:val="nil"/>
              <w:bottom w:val="nil"/>
            </w:tcBorders>
          </w:tcPr>
          <w:p w14:paraId="3DA6671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四、內部控制制度之定義、通過程序及設計暨執行準則：</w:t>
            </w:r>
          </w:p>
        </w:tc>
        <w:tc>
          <w:tcPr>
            <w:tcW w:w="2023" w:type="dxa"/>
            <w:vMerge/>
            <w:tcBorders>
              <w:right w:val="single" w:sz="12" w:space="0" w:color="auto"/>
            </w:tcBorders>
          </w:tcPr>
          <w:p w14:paraId="33CE93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8D9334" w14:textId="77777777">
        <w:tc>
          <w:tcPr>
            <w:tcW w:w="1384" w:type="dxa"/>
            <w:vMerge/>
            <w:tcBorders>
              <w:left w:val="single" w:sz="12" w:space="0" w:color="auto"/>
            </w:tcBorders>
          </w:tcPr>
          <w:p w14:paraId="4662A15A" w14:textId="77777777" w:rsidR="003B3105" w:rsidRDefault="003B3105" w:rsidP="001E533B">
            <w:pPr>
              <w:rPr>
                <w:rFonts w:ascii="新細明體" w:eastAsia="新細明體" w:hAnsi="新細明體"/>
              </w:rPr>
            </w:pPr>
          </w:p>
        </w:tc>
        <w:tc>
          <w:tcPr>
            <w:tcW w:w="1276" w:type="dxa"/>
            <w:vMerge/>
          </w:tcPr>
          <w:p w14:paraId="50D4E451" w14:textId="77777777" w:rsidR="003B3105" w:rsidRDefault="003B3105" w:rsidP="001E533B">
            <w:pPr>
              <w:rPr>
                <w:rFonts w:ascii="新細明體" w:eastAsia="新細明體" w:hAnsi="新細明體"/>
              </w:rPr>
            </w:pPr>
          </w:p>
        </w:tc>
        <w:tc>
          <w:tcPr>
            <w:tcW w:w="5386" w:type="dxa"/>
            <w:tcBorders>
              <w:top w:val="nil"/>
              <w:bottom w:val="nil"/>
            </w:tcBorders>
          </w:tcPr>
          <w:p w14:paraId="1247E37A"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依「證券暨期貨市場各服務事業建立內部控制制度處理準則」第四條之規定，內部控制制度係由事業經理人所設計，董事會</w:t>
            </w:r>
            <w:r>
              <w:rPr>
                <w:rFonts w:ascii="新細明體" w:eastAsia="新細明體" w:hAnsi="新細明體" w:cs="新細明體" w:hint="eastAsia"/>
              </w:rPr>
              <w:lastRenderedPageBreak/>
              <w:t>通過，並由董事會、經理人及其他員工執行之管理過程，其目的在於促進事業之健全經營，以合理確保下列目標之達成：</w:t>
            </w:r>
          </w:p>
        </w:tc>
        <w:tc>
          <w:tcPr>
            <w:tcW w:w="5387" w:type="dxa"/>
            <w:tcBorders>
              <w:top w:val="nil"/>
              <w:bottom w:val="nil"/>
            </w:tcBorders>
          </w:tcPr>
          <w:p w14:paraId="6AEE6FF2"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lastRenderedPageBreak/>
              <w:t>依「證券暨期貨市場各服務事業建立內部控制制度處理準則」第四條之規定，內部控制制度係由事業經理人所設計，董事會</w:t>
            </w:r>
            <w:r>
              <w:rPr>
                <w:rFonts w:ascii="新細明體" w:eastAsia="新細明體" w:hAnsi="新細明體" w:cs="新細明體" w:hint="eastAsia"/>
              </w:rPr>
              <w:lastRenderedPageBreak/>
              <w:t>通過，並由董事會、經理人及其他員工執行之管理過程，其目的在於促進事業之健全經營，以合理確保下列目標之達成：</w:t>
            </w:r>
          </w:p>
        </w:tc>
        <w:tc>
          <w:tcPr>
            <w:tcW w:w="2023" w:type="dxa"/>
            <w:vMerge/>
            <w:tcBorders>
              <w:right w:val="single" w:sz="12" w:space="0" w:color="auto"/>
            </w:tcBorders>
          </w:tcPr>
          <w:p w14:paraId="584992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FEFA67" w14:textId="77777777">
        <w:tc>
          <w:tcPr>
            <w:tcW w:w="1384" w:type="dxa"/>
            <w:vMerge/>
            <w:tcBorders>
              <w:left w:val="single" w:sz="12" w:space="0" w:color="auto"/>
            </w:tcBorders>
          </w:tcPr>
          <w:p w14:paraId="6754F1E1" w14:textId="77777777" w:rsidR="003B3105" w:rsidRDefault="003B3105" w:rsidP="001E533B">
            <w:pPr>
              <w:rPr>
                <w:rFonts w:ascii="新細明體" w:eastAsia="新細明體" w:hAnsi="新細明體"/>
              </w:rPr>
            </w:pPr>
          </w:p>
        </w:tc>
        <w:tc>
          <w:tcPr>
            <w:tcW w:w="1276" w:type="dxa"/>
            <w:vMerge/>
          </w:tcPr>
          <w:p w14:paraId="40D02339" w14:textId="77777777" w:rsidR="003B3105" w:rsidRDefault="003B3105" w:rsidP="001E533B">
            <w:pPr>
              <w:rPr>
                <w:rFonts w:ascii="新細明體" w:eastAsia="新細明體" w:hAnsi="新細明體"/>
              </w:rPr>
            </w:pPr>
          </w:p>
        </w:tc>
        <w:tc>
          <w:tcPr>
            <w:tcW w:w="5386" w:type="dxa"/>
            <w:tcBorders>
              <w:top w:val="nil"/>
              <w:bottom w:val="nil"/>
            </w:tcBorders>
          </w:tcPr>
          <w:p w14:paraId="0BE41D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(一)營運之效果及效率。</w:t>
            </w:r>
          </w:p>
        </w:tc>
        <w:tc>
          <w:tcPr>
            <w:tcW w:w="5387" w:type="dxa"/>
            <w:tcBorders>
              <w:top w:val="nil"/>
              <w:bottom w:val="nil"/>
            </w:tcBorders>
          </w:tcPr>
          <w:p w14:paraId="494978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(一)營運之效果及效率。</w:t>
            </w:r>
          </w:p>
        </w:tc>
        <w:tc>
          <w:tcPr>
            <w:tcW w:w="2023" w:type="dxa"/>
            <w:vMerge/>
            <w:tcBorders>
              <w:right w:val="single" w:sz="12" w:space="0" w:color="auto"/>
            </w:tcBorders>
          </w:tcPr>
          <w:p w14:paraId="2298E1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55DFEB" w14:textId="77777777">
        <w:tc>
          <w:tcPr>
            <w:tcW w:w="1384" w:type="dxa"/>
            <w:vMerge/>
            <w:tcBorders>
              <w:left w:val="single" w:sz="12" w:space="0" w:color="auto"/>
            </w:tcBorders>
          </w:tcPr>
          <w:p w14:paraId="19D92839" w14:textId="77777777" w:rsidR="003B3105" w:rsidRDefault="003B3105" w:rsidP="001E533B">
            <w:pPr>
              <w:rPr>
                <w:rFonts w:ascii="新細明體" w:eastAsia="新細明體" w:hAnsi="新細明體"/>
              </w:rPr>
            </w:pPr>
          </w:p>
        </w:tc>
        <w:tc>
          <w:tcPr>
            <w:tcW w:w="1276" w:type="dxa"/>
            <w:vMerge/>
          </w:tcPr>
          <w:p w14:paraId="3AE8CE47" w14:textId="77777777" w:rsidR="003B3105" w:rsidRDefault="003B3105" w:rsidP="001E533B">
            <w:pPr>
              <w:rPr>
                <w:rFonts w:ascii="新細明體" w:eastAsia="新細明體" w:hAnsi="新細明體"/>
              </w:rPr>
            </w:pPr>
          </w:p>
        </w:tc>
        <w:tc>
          <w:tcPr>
            <w:tcW w:w="5386" w:type="dxa"/>
            <w:tcBorders>
              <w:top w:val="nil"/>
              <w:bottom w:val="nil"/>
            </w:tcBorders>
          </w:tcPr>
          <w:p w14:paraId="103E3C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(二)報導具可靠性、及時性、透明性及符合相關規範。</w:t>
            </w:r>
          </w:p>
        </w:tc>
        <w:tc>
          <w:tcPr>
            <w:tcW w:w="5387" w:type="dxa"/>
            <w:tcBorders>
              <w:top w:val="nil"/>
              <w:bottom w:val="nil"/>
            </w:tcBorders>
          </w:tcPr>
          <w:p w14:paraId="3EAE86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(二)報導具可靠性、及時性、透明性及符合相關規範。</w:t>
            </w:r>
          </w:p>
        </w:tc>
        <w:tc>
          <w:tcPr>
            <w:tcW w:w="2023" w:type="dxa"/>
            <w:vMerge/>
            <w:tcBorders>
              <w:right w:val="single" w:sz="12" w:space="0" w:color="auto"/>
            </w:tcBorders>
          </w:tcPr>
          <w:p w14:paraId="487CA8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0E6C84" w14:textId="77777777">
        <w:tc>
          <w:tcPr>
            <w:tcW w:w="1384" w:type="dxa"/>
            <w:vMerge/>
            <w:tcBorders>
              <w:left w:val="single" w:sz="12" w:space="0" w:color="auto"/>
            </w:tcBorders>
          </w:tcPr>
          <w:p w14:paraId="067C2C6A" w14:textId="77777777" w:rsidR="003B3105" w:rsidRDefault="003B3105" w:rsidP="001E533B">
            <w:pPr>
              <w:rPr>
                <w:rFonts w:ascii="新細明體" w:eastAsia="新細明體" w:hAnsi="新細明體"/>
              </w:rPr>
            </w:pPr>
          </w:p>
        </w:tc>
        <w:tc>
          <w:tcPr>
            <w:tcW w:w="1276" w:type="dxa"/>
            <w:vMerge/>
          </w:tcPr>
          <w:p w14:paraId="64C0A3AA" w14:textId="77777777" w:rsidR="003B3105" w:rsidRDefault="003B3105" w:rsidP="001E533B">
            <w:pPr>
              <w:rPr>
                <w:rFonts w:ascii="新細明體" w:eastAsia="新細明體" w:hAnsi="新細明體"/>
              </w:rPr>
            </w:pPr>
          </w:p>
        </w:tc>
        <w:tc>
          <w:tcPr>
            <w:tcW w:w="5386" w:type="dxa"/>
            <w:tcBorders>
              <w:top w:val="nil"/>
              <w:bottom w:val="nil"/>
            </w:tcBorders>
          </w:tcPr>
          <w:p w14:paraId="4D53A3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(三)相關法令規章之遵循。</w:t>
            </w:r>
          </w:p>
        </w:tc>
        <w:tc>
          <w:tcPr>
            <w:tcW w:w="5387" w:type="dxa"/>
            <w:tcBorders>
              <w:top w:val="nil"/>
              <w:bottom w:val="nil"/>
            </w:tcBorders>
          </w:tcPr>
          <w:p w14:paraId="1CBBD5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(三)相關法令規章之遵循。</w:t>
            </w:r>
          </w:p>
        </w:tc>
        <w:tc>
          <w:tcPr>
            <w:tcW w:w="2023" w:type="dxa"/>
            <w:vMerge/>
            <w:tcBorders>
              <w:right w:val="single" w:sz="12" w:space="0" w:color="auto"/>
            </w:tcBorders>
          </w:tcPr>
          <w:p w14:paraId="6D0AE5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FEABFB" w14:textId="77777777">
        <w:tc>
          <w:tcPr>
            <w:tcW w:w="1384" w:type="dxa"/>
            <w:vMerge/>
            <w:tcBorders>
              <w:left w:val="single" w:sz="12" w:space="0" w:color="auto"/>
            </w:tcBorders>
          </w:tcPr>
          <w:p w14:paraId="0265D94D" w14:textId="77777777" w:rsidR="003B3105" w:rsidRDefault="003B3105" w:rsidP="001E533B">
            <w:pPr>
              <w:rPr>
                <w:rFonts w:ascii="新細明體" w:eastAsia="新細明體" w:hAnsi="新細明體"/>
              </w:rPr>
            </w:pPr>
          </w:p>
        </w:tc>
        <w:tc>
          <w:tcPr>
            <w:tcW w:w="1276" w:type="dxa"/>
            <w:vMerge/>
          </w:tcPr>
          <w:p w14:paraId="184E0E2E" w14:textId="77777777" w:rsidR="003B3105" w:rsidRDefault="003B3105" w:rsidP="001E533B">
            <w:pPr>
              <w:rPr>
                <w:rFonts w:ascii="新細明體" w:eastAsia="新細明體" w:hAnsi="新細明體"/>
              </w:rPr>
            </w:pPr>
          </w:p>
        </w:tc>
        <w:tc>
          <w:tcPr>
            <w:tcW w:w="5386" w:type="dxa"/>
            <w:tcBorders>
              <w:top w:val="nil"/>
              <w:bottom w:val="nil"/>
            </w:tcBorders>
          </w:tcPr>
          <w:p w14:paraId="0582BED4"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5387" w:type="dxa"/>
            <w:tcBorders>
              <w:top w:val="nil"/>
              <w:bottom w:val="nil"/>
            </w:tcBorders>
          </w:tcPr>
          <w:p w14:paraId="03DF7368"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2023" w:type="dxa"/>
            <w:vMerge/>
            <w:tcBorders>
              <w:right w:val="single" w:sz="12" w:space="0" w:color="auto"/>
            </w:tcBorders>
          </w:tcPr>
          <w:p w14:paraId="2E5B0C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6CC797" w14:textId="77777777">
        <w:tc>
          <w:tcPr>
            <w:tcW w:w="1384" w:type="dxa"/>
            <w:vMerge/>
            <w:tcBorders>
              <w:left w:val="single" w:sz="12" w:space="0" w:color="auto"/>
            </w:tcBorders>
          </w:tcPr>
          <w:p w14:paraId="4618C60D" w14:textId="77777777" w:rsidR="003B3105" w:rsidRDefault="003B3105" w:rsidP="001E533B">
            <w:pPr>
              <w:rPr>
                <w:rFonts w:ascii="新細明體" w:eastAsia="新細明體" w:hAnsi="新細明體"/>
              </w:rPr>
            </w:pPr>
          </w:p>
        </w:tc>
        <w:tc>
          <w:tcPr>
            <w:tcW w:w="1276" w:type="dxa"/>
            <w:vMerge/>
          </w:tcPr>
          <w:p w14:paraId="3F72C2F4" w14:textId="77777777" w:rsidR="003B3105" w:rsidRDefault="003B3105" w:rsidP="001E533B">
            <w:pPr>
              <w:rPr>
                <w:rFonts w:ascii="新細明體" w:eastAsia="新細明體" w:hAnsi="新細明體"/>
              </w:rPr>
            </w:pPr>
          </w:p>
        </w:tc>
        <w:tc>
          <w:tcPr>
            <w:tcW w:w="5386" w:type="dxa"/>
            <w:tcBorders>
              <w:top w:val="nil"/>
              <w:bottom w:val="nil"/>
            </w:tcBorders>
          </w:tcPr>
          <w:p w14:paraId="30ADE980"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5387" w:type="dxa"/>
            <w:tcBorders>
              <w:top w:val="nil"/>
              <w:bottom w:val="nil"/>
            </w:tcBorders>
          </w:tcPr>
          <w:p w14:paraId="1AE3ABB1"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2023" w:type="dxa"/>
            <w:vMerge/>
            <w:tcBorders>
              <w:right w:val="single" w:sz="12" w:space="0" w:color="auto"/>
            </w:tcBorders>
          </w:tcPr>
          <w:p w14:paraId="2B3E77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BF7097" w14:textId="77777777">
        <w:tc>
          <w:tcPr>
            <w:tcW w:w="1384" w:type="dxa"/>
            <w:vMerge/>
            <w:tcBorders>
              <w:left w:val="single" w:sz="12" w:space="0" w:color="auto"/>
            </w:tcBorders>
          </w:tcPr>
          <w:p w14:paraId="6631B1D6" w14:textId="77777777" w:rsidR="003B3105" w:rsidRDefault="003B3105" w:rsidP="001E533B">
            <w:pPr>
              <w:rPr>
                <w:rFonts w:ascii="新細明體" w:eastAsia="新細明體" w:hAnsi="新細明體"/>
              </w:rPr>
            </w:pPr>
          </w:p>
        </w:tc>
        <w:tc>
          <w:tcPr>
            <w:tcW w:w="1276" w:type="dxa"/>
            <w:vMerge/>
          </w:tcPr>
          <w:p w14:paraId="1B80519C" w14:textId="77777777" w:rsidR="003B3105" w:rsidRDefault="003B3105" w:rsidP="001E533B">
            <w:pPr>
              <w:rPr>
                <w:rFonts w:ascii="新細明體" w:eastAsia="新細明體" w:hAnsi="新細明體"/>
              </w:rPr>
            </w:pPr>
          </w:p>
        </w:tc>
        <w:tc>
          <w:tcPr>
            <w:tcW w:w="5386" w:type="dxa"/>
            <w:tcBorders>
              <w:top w:val="nil"/>
              <w:bottom w:val="nil"/>
            </w:tcBorders>
          </w:tcPr>
          <w:p w14:paraId="24C7929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公司已依證券交易法規定設置審計委員會者，訂定或修正內部控制制度，應經審計委員會全體實際在任成員二分之一以上同</w:t>
            </w:r>
            <w:r>
              <w:rPr>
                <w:rFonts w:ascii="新細明體" w:eastAsia="新細明體" w:hAnsi="新細明體" w:cs="新細明體" w:hint="eastAsia"/>
              </w:rPr>
              <w:lastRenderedPageBreak/>
              <w:t>意，並提董事會決議。未經審計委員會全體實際在任成員二分之一以上同意者，得由全體實際在任董事三分之二以上同意行之，並應於董事會議事錄載明審計委員會之決議。</w:t>
            </w:r>
          </w:p>
        </w:tc>
        <w:tc>
          <w:tcPr>
            <w:tcW w:w="5387" w:type="dxa"/>
            <w:tcBorders>
              <w:top w:val="nil"/>
              <w:bottom w:val="nil"/>
            </w:tcBorders>
          </w:tcPr>
          <w:p w14:paraId="1750225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lastRenderedPageBreak/>
              <w:t>公司已依證券交易法規定設置審計委員會者，訂定或修正內部控制制度，應經審計委員會全體實際在任成員二分之一以上同</w:t>
            </w:r>
            <w:r>
              <w:rPr>
                <w:rFonts w:ascii="新細明體" w:eastAsia="新細明體" w:hAnsi="新細明體" w:cs="新細明體" w:hint="eastAsia"/>
              </w:rPr>
              <w:lastRenderedPageBreak/>
              <w:t>意，並提董事會決議。未經審計委員會全體實際在任成員二分之一以上同意者，得由全體實際在任董事三分之二以上同意行之，並應於董事會議事錄載明審計委員會之決議。</w:t>
            </w:r>
          </w:p>
        </w:tc>
        <w:tc>
          <w:tcPr>
            <w:tcW w:w="2023" w:type="dxa"/>
            <w:vMerge/>
            <w:tcBorders>
              <w:right w:val="single" w:sz="12" w:space="0" w:color="auto"/>
            </w:tcBorders>
          </w:tcPr>
          <w:p w14:paraId="784262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CC51FB" w14:textId="77777777">
        <w:tc>
          <w:tcPr>
            <w:tcW w:w="1384" w:type="dxa"/>
            <w:vMerge/>
            <w:tcBorders>
              <w:left w:val="single" w:sz="12" w:space="0" w:color="auto"/>
            </w:tcBorders>
          </w:tcPr>
          <w:p w14:paraId="3C4F0DC6" w14:textId="77777777" w:rsidR="003B3105" w:rsidRDefault="003B3105" w:rsidP="001E533B">
            <w:pPr>
              <w:rPr>
                <w:rFonts w:ascii="新細明體" w:eastAsia="新細明體" w:hAnsi="新細明體"/>
              </w:rPr>
            </w:pPr>
          </w:p>
        </w:tc>
        <w:tc>
          <w:tcPr>
            <w:tcW w:w="1276" w:type="dxa"/>
            <w:vMerge/>
          </w:tcPr>
          <w:p w14:paraId="3FD03242" w14:textId="77777777" w:rsidR="003B3105" w:rsidRDefault="003B3105" w:rsidP="001E533B">
            <w:pPr>
              <w:rPr>
                <w:rFonts w:ascii="新細明體" w:eastAsia="新細明體" w:hAnsi="新細明體"/>
              </w:rPr>
            </w:pPr>
          </w:p>
        </w:tc>
        <w:tc>
          <w:tcPr>
            <w:tcW w:w="5386" w:type="dxa"/>
            <w:tcBorders>
              <w:top w:val="nil"/>
              <w:bottom w:val="nil"/>
            </w:tcBorders>
          </w:tcPr>
          <w:p w14:paraId="3124D2D6"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公司董事會應認知營運所面臨之風險，監督其營運結果，並對於確保建立及維持適當有效之內部控制制度負有最終之責任。</w:t>
            </w:r>
          </w:p>
        </w:tc>
        <w:tc>
          <w:tcPr>
            <w:tcW w:w="5387" w:type="dxa"/>
            <w:tcBorders>
              <w:top w:val="nil"/>
              <w:bottom w:val="nil"/>
            </w:tcBorders>
          </w:tcPr>
          <w:p w14:paraId="6CB932CE"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公司董事會應認知營運所面臨之風險，監督其營運結果，並對於確保建立及維持適當有效之內部控制制度負有最終之責任。</w:t>
            </w:r>
          </w:p>
        </w:tc>
        <w:tc>
          <w:tcPr>
            <w:tcW w:w="2023" w:type="dxa"/>
            <w:vMerge/>
            <w:tcBorders>
              <w:right w:val="single" w:sz="12" w:space="0" w:color="auto"/>
            </w:tcBorders>
          </w:tcPr>
          <w:p w14:paraId="17DF0B9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2FB8C4" w14:textId="77777777">
        <w:tc>
          <w:tcPr>
            <w:tcW w:w="1384" w:type="dxa"/>
            <w:vMerge/>
            <w:tcBorders>
              <w:left w:val="single" w:sz="12" w:space="0" w:color="auto"/>
            </w:tcBorders>
          </w:tcPr>
          <w:p w14:paraId="5371F7E1" w14:textId="77777777" w:rsidR="003B3105" w:rsidRDefault="003B3105" w:rsidP="001E533B">
            <w:pPr>
              <w:rPr>
                <w:rFonts w:ascii="新細明體" w:eastAsia="新細明體" w:hAnsi="新細明體"/>
              </w:rPr>
            </w:pPr>
          </w:p>
        </w:tc>
        <w:tc>
          <w:tcPr>
            <w:tcW w:w="1276" w:type="dxa"/>
            <w:vMerge/>
          </w:tcPr>
          <w:p w14:paraId="563F4994" w14:textId="77777777" w:rsidR="003B3105" w:rsidRDefault="003B3105" w:rsidP="001E533B">
            <w:pPr>
              <w:rPr>
                <w:rFonts w:ascii="新細明體" w:eastAsia="新細明體" w:hAnsi="新細明體"/>
              </w:rPr>
            </w:pPr>
          </w:p>
        </w:tc>
        <w:tc>
          <w:tcPr>
            <w:tcW w:w="5386" w:type="dxa"/>
            <w:tcBorders>
              <w:top w:val="nil"/>
              <w:bottom w:val="nil"/>
            </w:tcBorders>
          </w:tcPr>
          <w:p w14:paraId="54F6A09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應考量本事業及子公司（依各服務事業財務報告編製規範之規定認定之）整體之營運活動，設計並確實執行內部控制制度，且應隨時檢討，以因應公司內外在環境的變遷，俾確保內部控制制度之設計及執行持續有效。</w:t>
            </w:r>
          </w:p>
        </w:tc>
        <w:tc>
          <w:tcPr>
            <w:tcW w:w="5387" w:type="dxa"/>
            <w:tcBorders>
              <w:top w:val="nil"/>
              <w:bottom w:val="nil"/>
            </w:tcBorders>
          </w:tcPr>
          <w:p w14:paraId="147C6574"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應考量本事業及子公司（依各服務事業財務報告編製規範之規定認定之）整體之營運活動，設計並確實執行內部控制制度，且應隨時檢討，以因應公司內外在環境的變遷，俾確保內部控制制度之設計及執行持續有效。</w:t>
            </w:r>
          </w:p>
        </w:tc>
        <w:tc>
          <w:tcPr>
            <w:tcW w:w="2023" w:type="dxa"/>
            <w:vMerge/>
            <w:tcBorders>
              <w:right w:val="single" w:sz="12" w:space="0" w:color="auto"/>
            </w:tcBorders>
          </w:tcPr>
          <w:p w14:paraId="034CD2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ADA8D3" w14:textId="77777777">
        <w:tc>
          <w:tcPr>
            <w:tcW w:w="1384" w:type="dxa"/>
            <w:vMerge/>
            <w:tcBorders>
              <w:left w:val="single" w:sz="12" w:space="0" w:color="auto"/>
            </w:tcBorders>
          </w:tcPr>
          <w:p w14:paraId="02D015C5" w14:textId="77777777" w:rsidR="003B3105" w:rsidRDefault="003B3105" w:rsidP="001E533B">
            <w:pPr>
              <w:rPr>
                <w:rFonts w:ascii="新細明體" w:eastAsia="新細明體" w:hAnsi="新細明體"/>
              </w:rPr>
            </w:pPr>
          </w:p>
        </w:tc>
        <w:tc>
          <w:tcPr>
            <w:tcW w:w="1276" w:type="dxa"/>
            <w:vMerge/>
          </w:tcPr>
          <w:p w14:paraId="03DFD387" w14:textId="77777777" w:rsidR="003B3105" w:rsidRDefault="003B3105" w:rsidP="001E533B">
            <w:pPr>
              <w:rPr>
                <w:rFonts w:ascii="新細明體" w:eastAsia="新細明體" w:hAnsi="新細明體"/>
              </w:rPr>
            </w:pPr>
          </w:p>
        </w:tc>
        <w:tc>
          <w:tcPr>
            <w:tcW w:w="5386" w:type="dxa"/>
            <w:tcBorders>
              <w:top w:val="nil"/>
              <w:bottom w:val="nil"/>
            </w:tcBorders>
          </w:tcPr>
          <w:p w14:paraId="3CC294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五、內部控制之組成要素：</w:t>
            </w:r>
          </w:p>
        </w:tc>
        <w:tc>
          <w:tcPr>
            <w:tcW w:w="5387" w:type="dxa"/>
            <w:tcBorders>
              <w:top w:val="nil"/>
              <w:bottom w:val="nil"/>
            </w:tcBorders>
          </w:tcPr>
          <w:p w14:paraId="0FD7F90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五、內部控制之組成要素：</w:t>
            </w:r>
          </w:p>
        </w:tc>
        <w:tc>
          <w:tcPr>
            <w:tcW w:w="2023" w:type="dxa"/>
            <w:vMerge/>
            <w:tcBorders>
              <w:right w:val="single" w:sz="12" w:space="0" w:color="auto"/>
            </w:tcBorders>
          </w:tcPr>
          <w:p w14:paraId="6B78F0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1D4428" w14:textId="77777777">
        <w:tc>
          <w:tcPr>
            <w:tcW w:w="1384" w:type="dxa"/>
            <w:vMerge/>
            <w:tcBorders>
              <w:left w:val="single" w:sz="12" w:space="0" w:color="auto"/>
            </w:tcBorders>
          </w:tcPr>
          <w:p w14:paraId="363264EB" w14:textId="77777777" w:rsidR="003B3105" w:rsidRDefault="003B3105" w:rsidP="001E533B">
            <w:pPr>
              <w:rPr>
                <w:rFonts w:ascii="新細明體" w:eastAsia="新細明體" w:hAnsi="新細明體"/>
              </w:rPr>
            </w:pPr>
          </w:p>
        </w:tc>
        <w:tc>
          <w:tcPr>
            <w:tcW w:w="1276" w:type="dxa"/>
            <w:vMerge/>
          </w:tcPr>
          <w:p w14:paraId="4656630A" w14:textId="77777777" w:rsidR="003B3105" w:rsidRDefault="003B3105" w:rsidP="001E533B">
            <w:pPr>
              <w:rPr>
                <w:rFonts w:ascii="新細明體" w:eastAsia="新細明體" w:hAnsi="新細明體"/>
              </w:rPr>
            </w:pPr>
          </w:p>
        </w:tc>
        <w:tc>
          <w:tcPr>
            <w:tcW w:w="5386" w:type="dxa"/>
            <w:tcBorders>
              <w:top w:val="nil"/>
              <w:bottom w:val="nil"/>
            </w:tcBorders>
          </w:tcPr>
          <w:p w14:paraId="7B223E0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依「證券暨期貨市場各服務事業建立內部控制制度處理準則」第七條之規定，內部控制制度應包括下列組成要素：</w:t>
            </w:r>
          </w:p>
        </w:tc>
        <w:tc>
          <w:tcPr>
            <w:tcW w:w="5387" w:type="dxa"/>
            <w:tcBorders>
              <w:top w:val="nil"/>
              <w:bottom w:val="nil"/>
            </w:tcBorders>
          </w:tcPr>
          <w:p w14:paraId="6BB2E371"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依「證券暨期貨市場各服務事業建立內部控制制度處理準則」第七條之規定，內部控制制度應包括下列組成要素：</w:t>
            </w:r>
          </w:p>
        </w:tc>
        <w:tc>
          <w:tcPr>
            <w:tcW w:w="2023" w:type="dxa"/>
            <w:vMerge/>
            <w:tcBorders>
              <w:right w:val="single" w:sz="12" w:space="0" w:color="auto"/>
            </w:tcBorders>
          </w:tcPr>
          <w:p w14:paraId="48CC4F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78BAF5" w14:textId="77777777">
        <w:tc>
          <w:tcPr>
            <w:tcW w:w="1384" w:type="dxa"/>
            <w:vMerge/>
            <w:tcBorders>
              <w:left w:val="single" w:sz="12" w:space="0" w:color="auto"/>
            </w:tcBorders>
          </w:tcPr>
          <w:p w14:paraId="3ACC9B95" w14:textId="77777777" w:rsidR="003B3105" w:rsidRDefault="003B3105" w:rsidP="001E533B">
            <w:pPr>
              <w:rPr>
                <w:rFonts w:ascii="新細明體" w:eastAsia="新細明體" w:hAnsi="新細明體"/>
              </w:rPr>
            </w:pPr>
          </w:p>
        </w:tc>
        <w:tc>
          <w:tcPr>
            <w:tcW w:w="1276" w:type="dxa"/>
            <w:vMerge/>
          </w:tcPr>
          <w:p w14:paraId="56796FEE" w14:textId="77777777" w:rsidR="003B3105" w:rsidRDefault="003B3105" w:rsidP="001E533B">
            <w:pPr>
              <w:rPr>
                <w:rFonts w:ascii="新細明體" w:eastAsia="新細明體" w:hAnsi="新細明體"/>
              </w:rPr>
            </w:pPr>
          </w:p>
        </w:tc>
        <w:tc>
          <w:tcPr>
            <w:tcW w:w="5386" w:type="dxa"/>
            <w:tcBorders>
              <w:top w:val="nil"/>
              <w:bottom w:val="nil"/>
            </w:tcBorders>
          </w:tcPr>
          <w:p w14:paraId="0BC7DE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5387" w:type="dxa"/>
            <w:tcBorders>
              <w:top w:val="nil"/>
              <w:bottom w:val="nil"/>
            </w:tcBorders>
          </w:tcPr>
          <w:p w14:paraId="0DA6CA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2023" w:type="dxa"/>
            <w:vMerge/>
            <w:tcBorders>
              <w:right w:val="single" w:sz="12" w:space="0" w:color="auto"/>
            </w:tcBorders>
          </w:tcPr>
          <w:p w14:paraId="52B7E9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70757C" w14:textId="77777777">
        <w:tc>
          <w:tcPr>
            <w:tcW w:w="1384" w:type="dxa"/>
            <w:vMerge/>
            <w:tcBorders>
              <w:left w:val="single" w:sz="12" w:space="0" w:color="auto"/>
            </w:tcBorders>
          </w:tcPr>
          <w:p w14:paraId="56A94CE0" w14:textId="77777777" w:rsidR="003B3105" w:rsidRDefault="003B3105" w:rsidP="001E533B">
            <w:pPr>
              <w:rPr>
                <w:rFonts w:ascii="新細明體" w:eastAsia="新細明體" w:hAnsi="新細明體"/>
              </w:rPr>
            </w:pPr>
          </w:p>
        </w:tc>
        <w:tc>
          <w:tcPr>
            <w:tcW w:w="1276" w:type="dxa"/>
            <w:vMerge/>
          </w:tcPr>
          <w:p w14:paraId="37F72197" w14:textId="77777777" w:rsidR="003B3105" w:rsidRDefault="003B3105" w:rsidP="001E533B">
            <w:pPr>
              <w:rPr>
                <w:rFonts w:ascii="新細明體" w:eastAsia="新細明體" w:hAnsi="新細明體"/>
              </w:rPr>
            </w:pPr>
          </w:p>
        </w:tc>
        <w:tc>
          <w:tcPr>
            <w:tcW w:w="5386" w:type="dxa"/>
            <w:tcBorders>
              <w:top w:val="nil"/>
              <w:bottom w:val="nil"/>
            </w:tcBorders>
          </w:tcPr>
          <w:p w14:paraId="1ED06D2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(二)風險評估：風險評估之先決條件為確立各項目標，並與事業不同層級單位相連</w:t>
            </w:r>
            <w:r>
              <w:rPr>
                <w:rFonts w:ascii="新細明體" w:eastAsia="新細明體" w:hAnsi="新細明體" w:cs="新細明體" w:hint="eastAsia"/>
              </w:rPr>
              <w:lastRenderedPageBreak/>
              <w:t>結，同時需考慮事業目標之適合性。管理階層應考量事業外部環境與商業模式改變之影響，以及可能發生之舞弊情事。其評估結果，可協助事業及時設計、修正及執行必要之控制作業。</w:t>
            </w:r>
          </w:p>
        </w:tc>
        <w:tc>
          <w:tcPr>
            <w:tcW w:w="5387" w:type="dxa"/>
            <w:tcBorders>
              <w:top w:val="nil"/>
              <w:bottom w:val="nil"/>
            </w:tcBorders>
          </w:tcPr>
          <w:p w14:paraId="3CF76B9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(二)風險評估：風險評估之先決條件為確立各項目標，並與事業不同層級單位相連</w:t>
            </w:r>
            <w:r>
              <w:rPr>
                <w:rFonts w:ascii="新細明體" w:eastAsia="新細明體" w:hAnsi="新細明體" w:cs="新細明體" w:hint="eastAsia"/>
              </w:rPr>
              <w:lastRenderedPageBreak/>
              <w:t>結，同時需考慮事業目標之適合性。管理階層應考量事業外部環境與商業模式改變之影響，以及可能發生之舞弊情事。其評估結果，可協助事業及時設計、修正及執行必要之控制作業。</w:t>
            </w:r>
          </w:p>
        </w:tc>
        <w:tc>
          <w:tcPr>
            <w:tcW w:w="2023" w:type="dxa"/>
            <w:vMerge/>
            <w:tcBorders>
              <w:right w:val="single" w:sz="12" w:space="0" w:color="auto"/>
            </w:tcBorders>
          </w:tcPr>
          <w:p w14:paraId="7AE69F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1DFFC" w14:textId="77777777">
        <w:tc>
          <w:tcPr>
            <w:tcW w:w="1384" w:type="dxa"/>
            <w:vMerge/>
            <w:tcBorders>
              <w:left w:val="single" w:sz="12" w:space="0" w:color="auto"/>
            </w:tcBorders>
          </w:tcPr>
          <w:p w14:paraId="01580612" w14:textId="77777777" w:rsidR="003B3105" w:rsidRDefault="003B3105" w:rsidP="001E533B">
            <w:pPr>
              <w:rPr>
                <w:rFonts w:ascii="新細明體" w:eastAsia="新細明體" w:hAnsi="新細明體"/>
              </w:rPr>
            </w:pPr>
          </w:p>
        </w:tc>
        <w:tc>
          <w:tcPr>
            <w:tcW w:w="1276" w:type="dxa"/>
            <w:vMerge/>
          </w:tcPr>
          <w:p w14:paraId="28ED82EF" w14:textId="77777777" w:rsidR="003B3105" w:rsidRDefault="003B3105" w:rsidP="001E533B">
            <w:pPr>
              <w:rPr>
                <w:rFonts w:ascii="新細明體" w:eastAsia="新細明體" w:hAnsi="新細明體"/>
              </w:rPr>
            </w:pPr>
          </w:p>
        </w:tc>
        <w:tc>
          <w:tcPr>
            <w:tcW w:w="5386" w:type="dxa"/>
            <w:tcBorders>
              <w:top w:val="nil"/>
              <w:bottom w:val="nil"/>
            </w:tcBorders>
          </w:tcPr>
          <w:p w14:paraId="3AC4CC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控制作業：係指事業依據風險評估結果，採用適當政策與程序之行動，將風險控制在可承受範圍之內。控制作業之執行應包括事業所有層級、業務流程內之各個階段、所有科技環境等範圍及對子公司之監督與管理。</w:t>
            </w:r>
          </w:p>
        </w:tc>
        <w:tc>
          <w:tcPr>
            <w:tcW w:w="5387" w:type="dxa"/>
            <w:tcBorders>
              <w:top w:val="nil"/>
              <w:bottom w:val="nil"/>
            </w:tcBorders>
          </w:tcPr>
          <w:p w14:paraId="2AEA74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控制作業：係指事業依據風險評估結果，採用適當政策與程序之行動，將風險控制在可承受範圍之內。控制作業之執行應包括事業所有層級、業務流程內之各個階段、所有科技環境等範圍及對子公司之監督與管理。</w:t>
            </w:r>
          </w:p>
        </w:tc>
        <w:tc>
          <w:tcPr>
            <w:tcW w:w="2023" w:type="dxa"/>
            <w:vMerge/>
            <w:tcBorders>
              <w:right w:val="single" w:sz="12" w:space="0" w:color="auto"/>
            </w:tcBorders>
          </w:tcPr>
          <w:p w14:paraId="7F820DA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DB6A69" w14:textId="77777777">
        <w:tc>
          <w:tcPr>
            <w:tcW w:w="1384" w:type="dxa"/>
            <w:vMerge/>
            <w:tcBorders>
              <w:left w:val="single" w:sz="12" w:space="0" w:color="auto"/>
            </w:tcBorders>
          </w:tcPr>
          <w:p w14:paraId="4F0AA22F" w14:textId="77777777" w:rsidR="003B3105" w:rsidRDefault="003B3105" w:rsidP="001E533B">
            <w:pPr>
              <w:rPr>
                <w:rFonts w:ascii="新細明體" w:eastAsia="新細明體" w:hAnsi="新細明體"/>
              </w:rPr>
            </w:pPr>
          </w:p>
        </w:tc>
        <w:tc>
          <w:tcPr>
            <w:tcW w:w="1276" w:type="dxa"/>
            <w:vMerge/>
          </w:tcPr>
          <w:p w14:paraId="65FCC488" w14:textId="77777777" w:rsidR="003B3105" w:rsidRDefault="003B3105" w:rsidP="001E533B">
            <w:pPr>
              <w:rPr>
                <w:rFonts w:ascii="新細明體" w:eastAsia="新細明體" w:hAnsi="新細明體"/>
              </w:rPr>
            </w:pPr>
          </w:p>
        </w:tc>
        <w:tc>
          <w:tcPr>
            <w:tcW w:w="5386" w:type="dxa"/>
            <w:tcBorders>
              <w:top w:val="nil"/>
              <w:bottom w:val="nil"/>
            </w:tcBorders>
          </w:tcPr>
          <w:p w14:paraId="2D0C7E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5387" w:type="dxa"/>
            <w:tcBorders>
              <w:top w:val="nil"/>
              <w:bottom w:val="nil"/>
            </w:tcBorders>
          </w:tcPr>
          <w:p w14:paraId="53703A6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2023" w:type="dxa"/>
            <w:vMerge/>
            <w:tcBorders>
              <w:right w:val="single" w:sz="12" w:space="0" w:color="auto"/>
            </w:tcBorders>
          </w:tcPr>
          <w:p w14:paraId="137D45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80CA46" w14:textId="77777777">
        <w:tc>
          <w:tcPr>
            <w:tcW w:w="1384" w:type="dxa"/>
            <w:vMerge/>
            <w:tcBorders>
              <w:left w:val="single" w:sz="12" w:space="0" w:color="auto"/>
            </w:tcBorders>
          </w:tcPr>
          <w:p w14:paraId="478E259F" w14:textId="77777777" w:rsidR="003B3105" w:rsidRDefault="003B3105" w:rsidP="001E533B">
            <w:pPr>
              <w:rPr>
                <w:rFonts w:ascii="新細明體" w:eastAsia="新細明體" w:hAnsi="新細明體"/>
              </w:rPr>
            </w:pPr>
          </w:p>
        </w:tc>
        <w:tc>
          <w:tcPr>
            <w:tcW w:w="1276" w:type="dxa"/>
            <w:vMerge/>
          </w:tcPr>
          <w:p w14:paraId="334618AF" w14:textId="77777777" w:rsidR="003B3105" w:rsidRDefault="003B3105" w:rsidP="001E533B">
            <w:pPr>
              <w:rPr>
                <w:rFonts w:ascii="新細明體" w:eastAsia="新細明體" w:hAnsi="新細明體"/>
              </w:rPr>
            </w:pPr>
          </w:p>
        </w:tc>
        <w:tc>
          <w:tcPr>
            <w:tcW w:w="5386" w:type="dxa"/>
            <w:tcBorders>
              <w:top w:val="nil"/>
              <w:bottom w:val="nil"/>
            </w:tcBorders>
          </w:tcPr>
          <w:p w14:paraId="232DB5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w:t>
            </w:r>
            <w:r>
              <w:rPr>
                <w:rFonts w:ascii="新細明體" w:eastAsia="新細明體" w:hAnsi="新細明體" w:cs="新細明體" w:hint="eastAsia"/>
              </w:rPr>
              <w:lastRenderedPageBreak/>
              <w:t>及監察人溝通，並及時改善。</w:t>
            </w:r>
          </w:p>
        </w:tc>
        <w:tc>
          <w:tcPr>
            <w:tcW w:w="5387" w:type="dxa"/>
            <w:tcBorders>
              <w:top w:val="nil"/>
              <w:bottom w:val="nil"/>
            </w:tcBorders>
          </w:tcPr>
          <w:p w14:paraId="2BA598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五)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w:t>
            </w:r>
            <w:r>
              <w:rPr>
                <w:rFonts w:ascii="新細明體" w:eastAsia="新細明體" w:hAnsi="新細明體" w:cs="新細明體" w:hint="eastAsia"/>
              </w:rPr>
              <w:lastRenderedPageBreak/>
              <w:t>及監察人溝通，並及時改善。</w:t>
            </w:r>
          </w:p>
        </w:tc>
        <w:tc>
          <w:tcPr>
            <w:tcW w:w="2023" w:type="dxa"/>
            <w:vMerge/>
            <w:tcBorders>
              <w:right w:val="single" w:sz="12" w:space="0" w:color="auto"/>
            </w:tcBorders>
          </w:tcPr>
          <w:p w14:paraId="0AD564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098E85" w14:textId="77777777">
        <w:tc>
          <w:tcPr>
            <w:tcW w:w="1384" w:type="dxa"/>
            <w:vMerge/>
            <w:tcBorders>
              <w:left w:val="single" w:sz="12" w:space="0" w:color="auto"/>
            </w:tcBorders>
          </w:tcPr>
          <w:p w14:paraId="62DCBBF7" w14:textId="77777777" w:rsidR="003B3105" w:rsidRDefault="003B3105" w:rsidP="001E533B">
            <w:pPr>
              <w:rPr>
                <w:rFonts w:ascii="新細明體" w:eastAsia="新細明體" w:hAnsi="新細明體"/>
              </w:rPr>
            </w:pPr>
          </w:p>
        </w:tc>
        <w:tc>
          <w:tcPr>
            <w:tcW w:w="1276" w:type="dxa"/>
            <w:vMerge/>
          </w:tcPr>
          <w:p w14:paraId="4923D915" w14:textId="77777777" w:rsidR="003B3105" w:rsidRDefault="003B3105" w:rsidP="001E533B">
            <w:pPr>
              <w:rPr>
                <w:rFonts w:ascii="新細明體" w:eastAsia="新細明體" w:hAnsi="新細明體"/>
              </w:rPr>
            </w:pPr>
          </w:p>
        </w:tc>
        <w:tc>
          <w:tcPr>
            <w:tcW w:w="5386" w:type="dxa"/>
            <w:tcBorders>
              <w:top w:val="nil"/>
              <w:bottom w:val="nil"/>
            </w:tcBorders>
          </w:tcPr>
          <w:p w14:paraId="7F4BD91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第一款之董事行為準則至少應包括董事發現本事業有受重大損害之虞時，應儘速妥適處理，立即通知審計委員會或審計委員會之獨立董事成員或監察人並提報董事會，且應督導公司通報主管機關。</w:t>
            </w:r>
          </w:p>
        </w:tc>
        <w:tc>
          <w:tcPr>
            <w:tcW w:w="5387" w:type="dxa"/>
            <w:tcBorders>
              <w:top w:val="nil"/>
              <w:bottom w:val="nil"/>
            </w:tcBorders>
          </w:tcPr>
          <w:p w14:paraId="1BD50940"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第一款之董事行為準則至少應包括董事發現本事業有受重大損害之虞時，應儘速妥適處理，立即通知審計委員會或審計委員會之獨立董事成員或監察人並提報董事會，且應督導公司通報主管機關。</w:t>
            </w:r>
          </w:p>
        </w:tc>
        <w:tc>
          <w:tcPr>
            <w:tcW w:w="2023" w:type="dxa"/>
            <w:vMerge/>
            <w:tcBorders>
              <w:right w:val="single" w:sz="12" w:space="0" w:color="auto"/>
            </w:tcBorders>
          </w:tcPr>
          <w:p w14:paraId="56D09C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AFD8BF" w14:textId="77777777">
        <w:tc>
          <w:tcPr>
            <w:tcW w:w="1384" w:type="dxa"/>
            <w:vMerge/>
            <w:tcBorders>
              <w:left w:val="single" w:sz="12" w:space="0" w:color="auto"/>
            </w:tcBorders>
          </w:tcPr>
          <w:p w14:paraId="35AD358C" w14:textId="77777777" w:rsidR="003B3105" w:rsidRDefault="003B3105" w:rsidP="001E533B">
            <w:pPr>
              <w:rPr>
                <w:rFonts w:ascii="新細明體" w:eastAsia="新細明體" w:hAnsi="新細明體"/>
              </w:rPr>
            </w:pPr>
          </w:p>
        </w:tc>
        <w:tc>
          <w:tcPr>
            <w:tcW w:w="1276" w:type="dxa"/>
            <w:vMerge/>
          </w:tcPr>
          <w:p w14:paraId="50EBFC4C" w14:textId="77777777" w:rsidR="003B3105" w:rsidRDefault="003B3105" w:rsidP="001E533B">
            <w:pPr>
              <w:rPr>
                <w:rFonts w:ascii="新細明體" w:eastAsia="新細明體" w:hAnsi="新細明體"/>
              </w:rPr>
            </w:pPr>
          </w:p>
        </w:tc>
        <w:tc>
          <w:tcPr>
            <w:tcW w:w="5386" w:type="dxa"/>
            <w:tcBorders>
              <w:top w:val="nil"/>
              <w:bottom w:val="nil"/>
            </w:tcBorders>
          </w:tcPr>
          <w:p w14:paraId="083AD18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六、公司組織結構與部門職掌：</w:t>
            </w:r>
          </w:p>
        </w:tc>
        <w:tc>
          <w:tcPr>
            <w:tcW w:w="5387" w:type="dxa"/>
            <w:tcBorders>
              <w:top w:val="nil"/>
              <w:bottom w:val="nil"/>
            </w:tcBorders>
          </w:tcPr>
          <w:p w14:paraId="5385847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六、公司組織結構與部門職掌：</w:t>
            </w:r>
          </w:p>
        </w:tc>
        <w:tc>
          <w:tcPr>
            <w:tcW w:w="2023" w:type="dxa"/>
            <w:vMerge/>
            <w:tcBorders>
              <w:right w:val="single" w:sz="12" w:space="0" w:color="auto"/>
            </w:tcBorders>
          </w:tcPr>
          <w:p w14:paraId="44384B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F89D66" w14:textId="77777777">
        <w:tc>
          <w:tcPr>
            <w:tcW w:w="1384" w:type="dxa"/>
            <w:vMerge/>
            <w:tcBorders>
              <w:left w:val="single" w:sz="12" w:space="0" w:color="auto"/>
            </w:tcBorders>
          </w:tcPr>
          <w:p w14:paraId="7B1AE66F" w14:textId="77777777" w:rsidR="003B3105" w:rsidRDefault="003B3105" w:rsidP="001E533B">
            <w:pPr>
              <w:rPr>
                <w:rFonts w:ascii="新細明體" w:eastAsia="新細明體" w:hAnsi="新細明體"/>
              </w:rPr>
            </w:pPr>
          </w:p>
        </w:tc>
        <w:tc>
          <w:tcPr>
            <w:tcW w:w="1276" w:type="dxa"/>
            <w:vMerge/>
          </w:tcPr>
          <w:p w14:paraId="5207225D" w14:textId="77777777" w:rsidR="003B3105" w:rsidRDefault="003B3105" w:rsidP="001E533B">
            <w:pPr>
              <w:rPr>
                <w:rFonts w:ascii="新細明體" w:eastAsia="新細明體" w:hAnsi="新細明體"/>
              </w:rPr>
            </w:pPr>
          </w:p>
        </w:tc>
        <w:tc>
          <w:tcPr>
            <w:tcW w:w="5386" w:type="dxa"/>
            <w:tcBorders>
              <w:top w:val="nil"/>
              <w:bottom w:val="nil"/>
            </w:tcBorders>
          </w:tcPr>
          <w:p w14:paraId="76BE354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應訂定明確之內部組織結構、呈報體系，及適當權限與責任，包括公司組織系統圖、部門分工、職權範圍及各項業務之分層負責等應予以敘明(有關各項業務之分層負責劃分，請依附表所列示項目，得由各證券商於法令許可範圍內視情況調整訂定)，並載明經理人之設置、職稱、委任與解任、職權範圍及薪資報酬政策與制度等事項。</w:t>
            </w:r>
          </w:p>
        </w:tc>
        <w:tc>
          <w:tcPr>
            <w:tcW w:w="5387" w:type="dxa"/>
            <w:tcBorders>
              <w:top w:val="nil"/>
              <w:bottom w:val="nil"/>
            </w:tcBorders>
          </w:tcPr>
          <w:p w14:paraId="7A0FE44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應訂定明確之內部組織結構、呈報體系，及適當權限與責任，包括公司組織系統圖、部門分工、職權範圍及各項業務之分層負責等應予以敘明(有關各項業務之分層負責劃分，請依附表所列示項目，得由各證券商於法令許可範圍內視情況調整訂定)，並載明經理人之設置、職稱、委任與解任、職權範圍及薪資報酬政策與制度等事項。</w:t>
            </w:r>
          </w:p>
        </w:tc>
        <w:tc>
          <w:tcPr>
            <w:tcW w:w="2023" w:type="dxa"/>
            <w:vMerge/>
            <w:tcBorders>
              <w:right w:val="single" w:sz="12" w:space="0" w:color="auto"/>
            </w:tcBorders>
          </w:tcPr>
          <w:p w14:paraId="4EB543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D15427" w14:textId="77777777">
        <w:tc>
          <w:tcPr>
            <w:tcW w:w="1384" w:type="dxa"/>
            <w:vMerge/>
            <w:tcBorders>
              <w:left w:val="single" w:sz="12" w:space="0" w:color="auto"/>
            </w:tcBorders>
          </w:tcPr>
          <w:p w14:paraId="4EBB030F" w14:textId="77777777" w:rsidR="003B3105" w:rsidRDefault="003B3105" w:rsidP="001E533B">
            <w:pPr>
              <w:rPr>
                <w:rFonts w:ascii="新細明體" w:eastAsia="新細明體" w:hAnsi="新細明體"/>
              </w:rPr>
            </w:pPr>
          </w:p>
        </w:tc>
        <w:tc>
          <w:tcPr>
            <w:tcW w:w="1276" w:type="dxa"/>
            <w:vMerge/>
          </w:tcPr>
          <w:p w14:paraId="77712858" w14:textId="77777777" w:rsidR="003B3105" w:rsidRDefault="003B3105" w:rsidP="001E533B">
            <w:pPr>
              <w:rPr>
                <w:rFonts w:ascii="新細明體" w:eastAsia="新細明體" w:hAnsi="新細明體"/>
              </w:rPr>
            </w:pPr>
          </w:p>
        </w:tc>
        <w:tc>
          <w:tcPr>
            <w:tcW w:w="5386" w:type="dxa"/>
            <w:tcBorders>
              <w:top w:val="nil"/>
              <w:bottom w:val="nil"/>
            </w:tcBorders>
          </w:tcPr>
          <w:p w14:paraId="4B25A64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七、業務經營原則與方針：</w:t>
            </w:r>
          </w:p>
        </w:tc>
        <w:tc>
          <w:tcPr>
            <w:tcW w:w="5387" w:type="dxa"/>
            <w:tcBorders>
              <w:top w:val="nil"/>
              <w:bottom w:val="nil"/>
            </w:tcBorders>
          </w:tcPr>
          <w:p w14:paraId="7E68409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七、業務經營原則與方針：</w:t>
            </w:r>
          </w:p>
        </w:tc>
        <w:tc>
          <w:tcPr>
            <w:tcW w:w="2023" w:type="dxa"/>
            <w:vMerge/>
            <w:tcBorders>
              <w:right w:val="single" w:sz="12" w:space="0" w:color="auto"/>
            </w:tcBorders>
          </w:tcPr>
          <w:p w14:paraId="0081C7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0AEB0A" w14:textId="77777777">
        <w:tc>
          <w:tcPr>
            <w:tcW w:w="1384" w:type="dxa"/>
            <w:vMerge/>
            <w:tcBorders>
              <w:left w:val="single" w:sz="12" w:space="0" w:color="auto"/>
            </w:tcBorders>
          </w:tcPr>
          <w:p w14:paraId="32960D2C" w14:textId="77777777" w:rsidR="003B3105" w:rsidRDefault="003B3105" w:rsidP="001E533B">
            <w:pPr>
              <w:rPr>
                <w:rFonts w:ascii="新細明體" w:eastAsia="新細明體" w:hAnsi="新細明體"/>
              </w:rPr>
            </w:pPr>
          </w:p>
        </w:tc>
        <w:tc>
          <w:tcPr>
            <w:tcW w:w="1276" w:type="dxa"/>
            <w:vMerge/>
          </w:tcPr>
          <w:p w14:paraId="41842E62" w14:textId="77777777" w:rsidR="003B3105" w:rsidRDefault="003B3105" w:rsidP="001E533B">
            <w:pPr>
              <w:rPr>
                <w:rFonts w:ascii="新細明體" w:eastAsia="新細明體" w:hAnsi="新細明體"/>
              </w:rPr>
            </w:pPr>
          </w:p>
        </w:tc>
        <w:tc>
          <w:tcPr>
            <w:tcW w:w="5386" w:type="dxa"/>
            <w:tcBorders>
              <w:top w:val="nil"/>
              <w:bottom w:val="nil"/>
            </w:tcBorders>
          </w:tcPr>
          <w:p w14:paraId="06F43C2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包括經營業務內容及範圍、業務經營原則及發展方針等應予以敘明。</w:t>
            </w:r>
          </w:p>
        </w:tc>
        <w:tc>
          <w:tcPr>
            <w:tcW w:w="5387" w:type="dxa"/>
            <w:tcBorders>
              <w:top w:val="nil"/>
              <w:bottom w:val="nil"/>
            </w:tcBorders>
          </w:tcPr>
          <w:p w14:paraId="62B5994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包括經營業務內容及範圍、業務經營原則及發展方針等應予以敘明。</w:t>
            </w:r>
          </w:p>
        </w:tc>
        <w:tc>
          <w:tcPr>
            <w:tcW w:w="2023" w:type="dxa"/>
            <w:vMerge/>
            <w:tcBorders>
              <w:right w:val="single" w:sz="12" w:space="0" w:color="auto"/>
            </w:tcBorders>
          </w:tcPr>
          <w:p w14:paraId="6BC75B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04DB7E" w14:textId="77777777">
        <w:tc>
          <w:tcPr>
            <w:tcW w:w="1384" w:type="dxa"/>
            <w:vMerge/>
            <w:tcBorders>
              <w:left w:val="single" w:sz="12" w:space="0" w:color="auto"/>
            </w:tcBorders>
          </w:tcPr>
          <w:p w14:paraId="6FE7D072" w14:textId="77777777" w:rsidR="003B3105" w:rsidRDefault="003B3105" w:rsidP="001E533B">
            <w:pPr>
              <w:rPr>
                <w:rFonts w:ascii="新細明體" w:eastAsia="新細明體" w:hAnsi="新細明體"/>
              </w:rPr>
            </w:pPr>
          </w:p>
        </w:tc>
        <w:tc>
          <w:tcPr>
            <w:tcW w:w="1276" w:type="dxa"/>
            <w:vMerge/>
          </w:tcPr>
          <w:p w14:paraId="2B34A23F" w14:textId="77777777" w:rsidR="003B3105" w:rsidRDefault="003B3105" w:rsidP="001E533B">
            <w:pPr>
              <w:rPr>
                <w:rFonts w:ascii="新細明體" w:eastAsia="新細明體" w:hAnsi="新細明體"/>
              </w:rPr>
            </w:pPr>
          </w:p>
        </w:tc>
        <w:tc>
          <w:tcPr>
            <w:tcW w:w="5386" w:type="dxa"/>
            <w:tcBorders>
              <w:top w:val="nil"/>
              <w:bottom w:val="nil"/>
            </w:tcBorders>
          </w:tcPr>
          <w:p w14:paraId="1D4116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八、內部控制制度之內容：</w:t>
            </w:r>
          </w:p>
        </w:tc>
        <w:tc>
          <w:tcPr>
            <w:tcW w:w="5387" w:type="dxa"/>
            <w:tcBorders>
              <w:top w:val="nil"/>
              <w:bottom w:val="nil"/>
            </w:tcBorders>
          </w:tcPr>
          <w:p w14:paraId="64F75E9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八、內部控制制度之內容：</w:t>
            </w:r>
          </w:p>
        </w:tc>
        <w:tc>
          <w:tcPr>
            <w:tcW w:w="2023" w:type="dxa"/>
            <w:vMerge/>
            <w:tcBorders>
              <w:right w:val="single" w:sz="12" w:space="0" w:color="auto"/>
            </w:tcBorders>
          </w:tcPr>
          <w:p w14:paraId="00F4A2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11DDC6" w14:textId="77777777">
        <w:tc>
          <w:tcPr>
            <w:tcW w:w="1384" w:type="dxa"/>
            <w:vMerge/>
            <w:tcBorders>
              <w:left w:val="single" w:sz="12" w:space="0" w:color="auto"/>
            </w:tcBorders>
          </w:tcPr>
          <w:p w14:paraId="09653C3B" w14:textId="77777777" w:rsidR="003B3105" w:rsidRDefault="003B3105" w:rsidP="001E533B">
            <w:pPr>
              <w:rPr>
                <w:rFonts w:ascii="新細明體" w:eastAsia="新細明體" w:hAnsi="新細明體"/>
              </w:rPr>
            </w:pPr>
          </w:p>
        </w:tc>
        <w:tc>
          <w:tcPr>
            <w:tcW w:w="1276" w:type="dxa"/>
            <w:vMerge/>
          </w:tcPr>
          <w:p w14:paraId="0BC45F01" w14:textId="77777777" w:rsidR="003B3105" w:rsidRDefault="003B3105" w:rsidP="001E533B">
            <w:pPr>
              <w:rPr>
                <w:rFonts w:ascii="新細明體" w:eastAsia="新細明體" w:hAnsi="新細明體"/>
              </w:rPr>
            </w:pPr>
          </w:p>
        </w:tc>
        <w:tc>
          <w:tcPr>
            <w:tcW w:w="5386" w:type="dxa"/>
            <w:tcBorders>
              <w:top w:val="nil"/>
              <w:bottom w:val="nil"/>
            </w:tcBorders>
          </w:tcPr>
          <w:p w14:paraId="077D6C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(一)公司之內部控制制度，除視公司之性質訂定各種營運循環類型之控制作業外，尚應視需要包括對下列作業之控制：</w:t>
            </w:r>
          </w:p>
        </w:tc>
        <w:tc>
          <w:tcPr>
            <w:tcW w:w="5387" w:type="dxa"/>
            <w:tcBorders>
              <w:top w:val="nil"/>
              <w:bottom w:val="nil"/>
            </w:tcBorders>
          </w:tcPr>
          <w:p w14:paraId="71B27B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(一)公司之內部控制制度，除視公司之性質訂定各種營運循環類型之控制作業外，尚應視需要包括對下列作業之控制：</w:t>
            </w:r>
          </w:p>
        </w:tc>
        <w:tc>
          <w:tcPr>
            <w:tcW w:w="2023" w:type="dxa"/>
            <w:vMerge/>
            <w:tcBorders>
              <w:right w:val="single" w:sz="12" w:space="0" w:color="auto"/>
            </w:tcBorders>
          </w:tcPr>
          <w:p w14:paraId="6725CC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ABA811" w14:textId="77777777">
        <w:tc>
          <w:tcPr>
            <w:tcW w:w="1384" w:type="dxa"/>
            <w:vMerge/>
            <w:tcBorders>
              <w:left w:val="single" w:sz="12" w:space="0" w:color="auto"/>
            </w:tcBorders>
          </w:tcPr>
          <w:p w14:paraId="3875C09C" w14:textId="77777777" w:rsidR="003B3105" w:rsidRDefault="003B3105" w:rsidP="001E533B">
            <w:pPr>
              <w:rPr>
                <w:rFonts w:ascii="新細明體" w:eastAsia="新細明體" w:hAnsi="新細明體"/>
              </w:rPr>
            </w:pPr>
          </w:p>
        </w:tc>
        <w:tc>
          <w:tcPr>
            <w:tcW w:w="1276" w:type="dxa"/>
            <w:vMerge/>
          </w:tcPr>
          <w:p w14:paraId="186AE5AF" w14:textId="77777777" w:rsidR="003B3105" w:rsidRDefault="003B3105" w:rsidP="001E533B">
            <w:pPr>
              <w:rPr>
                <w:rFonts w:ascii="新細明體" w:eastAsia="新細明體" w:hAnsi="新細明體"/>
              </w:rPr>
            </w:pPr>
          </w:p>
        </w:tc>
        <w:tc>
          <w:tcPr>
            <w:tcW w:w="5386" w:type="dxa"/>
            <w:tcBorders>
              <w:top w:val="nil"/>
              <w:bottom w:val="nil"/>
            </w:tcBorders>
          </w:tcPr>
          <w:p w14:paraId="57FA29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1.印鑑使用之管理。</w:t>
            </w:r>
          </w:p>
        </w:tc>
        <w:tc>
          <w:tcPr>
            <w:tcW w:w="5387" w:type="dxa"/>
            <w:tcBorders>
              <w:top w:val="nil"/>
              <w:bottom w:val="nil"/>
            </w:tcBorders>
          </w:tcPr>
          <w:p w14:paraId="330BF72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1.印鑑使用之管理。</w:t>
            </w:r>
          </w:p>
        </w:tc>
        <w:tc>
          <w:tcPr>
            <w:tcW w:w="2023" w:type="dxa"/>
            <w:vMerge/>
            <w:tcBorders>
              <w:right w:val="single" w:sz="12" w:space="0" w:color="auto"/>
            </w:tcBorders>
          </w:tcPr>
          <w:p w14:paraId="6D145F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B9FEC5" w14:textId="77777777">
        <w:tc>
          <w:tcPr>
            <w:tcW w:w="1384" w:type="dxa"/>
            <w:vMerge/>
            <w:tcBorders>
              <w:left w:val="single" w:sz="12" w:space="0" w:color="auto"/>
            </w:tcBorders>
          </w:tcPr>
          <w:p w14:paraId="715B6C5D" w14:textId="77777777" w:rsidR="003B3105" w:rsidRDefault="003B3105" w:rsidP="001E533B">
            <w:pPr>
              <w:rPr>
                <w:rFonts w:ascii="新細明體" w:eastAsia="新細明體" w:hAnsi="新細明體"/>
              </w:rPr>
            </w:pPr>
          </w:p>
        </w:tc>
        <w:tc>
          <w:tcPr>
            <w:tcW w:w="1276" w:type="dxa"/>
            <w:vMerge/>
          </w:tcPr>
          <w:p w14:paraId="5B5923F8" w14:textId="77777777" w:rsidR="003B3105" w:rsidRDefault="003B3105" w:rsidP="001E533B">
            <w:pPr>
              <w:rPr>
                <w:rFonts w:ascii="新細明體" w:eastAsia="新細明體" w:hAnsi="新細明體"/>
              </w:rPr>
            </w:pPr>
          </w:p>
        </w:tc>
        <w:tc>
          <w:tcPr>
            <w:tcW w:w="5386" w:type="dxa"/>
            <w:tcBorders>
              <w:top w:val="nil"/>
              <w:bottom w:val="nil"/>
            </w:tcBorders>
          </w:tcPr>
          <w:p w14:paraId="05C5C86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2.票據領用之管理。</w:t>
            </w:r>
          </w:p>
        </w:tc>
        <w:tc>
          <w:tcPr>
            <w:tcW w:w="5387" w:type="dxa"/>
            <w:tcBorders>
              <w:top w:val="nil"/>
              <w:bottom w:val="nil"/>
            </w:tcBorders>
          </w:tcPr>
          <w:p w14:paraId="0FA69D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2.票據領用之管理。</w:t>
            </w:r>
          </w:p>
        </w:tc>
        <w:tc>
          <w:tcPr>
            <w:tcW w:w="2023" w:type="dxa"/>
            <w:vMerge/>
            <w:tcBorders>
              <w:right w:val="single" w:sz="12" w:space="0" w:color="auto"/>
            </w:tcBorders>
          </w:tcPr>
          <w:p w14:paraId="05EA39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B9546B" w14:textId="77777777">
        <w:tc>
          <w:tcPr>
            <w:tcW w:w="1384" w:type="dxa"/>
            <w:vMerge/>
            <w:tcBorders>
              <w:left w:val="single" w:sz="12" w:space="0" w:color="auto"/>
            </w:tcBorders>
          </w:tcPr>
          <w:p w14:paraId="4B6F833D" w14:textId="77777777" w:rsidR="003B3105" w:rsidRDefault="003B3105" w:rsidP="001E533B">
            <w:pPr>
              <w:rPr>
                <w:rFonts w:ascii="新細明體" w:eastAsia="新細明體" w:hAnsi="新細明體"/>
              </w:rPr>
            </w:pPr>
          </w:p>
        </w:tc>
        <w:tc>
          <w:tcPr>
            <w:tcW w:w="1276" w:type="dxa"/>
            <w:vMerge/>
          </w:tcPr>
          <w:p w14:paraId="100A936E" w14:textId="77777777" w:rsidR="003B3105" w:rsidRDefault="003B3105" w:rsidP="001E533B">
            <w:pPr>
              <w:rPr>
                <w:rFonts w:ascii="新細明體" w:eastAsia="新細明體" w:hAnsi="新細明體"/>
              </w:rPr>
            </w:pPr>
          </w:p>
        </w:tc>
        <w:tc>
          <w:tcPr>
            <w:tcW w:w="5386" w:type="dxa"/>
            <w:tcBorders>
              <w:top w:val="nil"/>
              <w:bottom w:val="nil"/>
            </w:tcBorders>
          </w:tcPr>
          <w:p w14:paraId="00C6956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3.預算之管理。</w:t>
            </w:r>
          </w:p>
        </w:tc>
        <w:tc>
          <w:tcPr>
            <w:tcW w:w="5387" w:type="dxa"/>
            <w:tcBorders>
              <w:top w:val="nil"/>
              <w:bottom w:val="nil"/>
            </w:tcBorders>
          </w:tcPr>
          <w:p w14:paraId="5D5DDA2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3.預算之管理。</w:t>
            </w:r>
          </w:p>
        </w:tc>
        <w:tc>
          <w:tcPr>
            <w:tcW w:w="2023" w:type="dxa"/>
            <w:vMerge/>
            <w:tcBorders>
              <w:right w:val="single" w:sz="12" w:space="0" w:color="auto"/>
            </w:tcBorders>
          </w:tcPr>
          <w:p w14:paraId="748790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003540" w14:textId="77777777">
        <w:tc>
          <w:tcPr>
            <w:tcW w:w="1384" w:type="dxa"/>
            <w:vMerge/>
            <w:tcBorders>
              <w:left w:val="single" w:sz="12" w:space="0" w:color="auto"/>
            </w:tcBorders>
          </w:tcPr>
          <w:p w14:paraId="53E83542" w14:textId="77777777" w:rsidR="003B3105" w:rsidRDefault="003B3105" w:rsidP="001E533B">
            <w:pPr>
              <w:rPr>
                <w:rFonts w:ascii="新細明體" w:eastAsia="新細明體" w:hAnsi="新細明體"/>
              </w:rPr>
            </w:pPr>
          </w:p>
        </w:tc>
        <w:tc>
          <w:tcPr>
            <w:tcW w:w="1276" w:type="dxa"/>
            <w:vMerge/>
          </w:tcPr>
          <w:p w14:paraId="0E4FFB26" w14:textId="77777777" w:rsidR="003B3105" w:rsidRDefault="003B3105" w:rsidP="001E533B">
            <w:pPr>
              <w:rPr>
                <w:rFonts w:ascii="新細明體" w:eastAsia="新細明體" w:hAnsi="新細明體"/>
              </w:rPr>
            </w:pPr>
          </w:p>
        </w:tc>
        <w:tc>
          <w:tcPr>
            <w:tcW w:w="5386" w:type="dxa"/>
            <w:tcBorders>
              <w:top w:val="nil"/>
              <w:bottom w:val="nil"/>
            </w:tcBorders>
          </w:tcPr>
          <w:p w14:paraId="2D628FF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4.財產之管理。</w:t>
            </w:r>
          </w:p>
        </w:tc>
        <w:tc>
          <w:tcPr>
            <w:tcW w:w="5387" w:type="dxa"/>
            <w:tcBorders>
              <w:top w:val="nil"/>
              <w:bottom w:val="nil"/>
            </w:tcBorders>
          </w:tcPr>
          <w:p w14:paraId="3938A75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4.財產之管理。</w:t>
            </w:r>
          </w:p>
        </w:tc>
        <w:tc>
          <w:tcPr>
            <w:tcW w:w="2023" w:type="dxa"/>
            <w:vMerge/>
            <w:tcBorders>
              <w:right w:val="single" w:sz="12" w:space="0" w:color="auto"/>
            </w:tcBorders>
          </w:tcPr>
          <w:p w14:paraId="4D7823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DD9226" w14:textId="77777777">
        <w:tc>
          <w:tcPr>
            <w:tcW w:w="1384" w:type="dxa"/>
            <w:vMerge/>
            <w:tcBorders>
              <w:left w:val="single" w:sz="12" w:space="0" w:color="auto"/>
            </w:tcBorders>
          </w:tcPr>
          <w:p w14:paraId="44078A14" w14:textId="77777777" w:rsidR="003B3105" w:rsidRDefault="003B3105" w:rsidP="001E533B">
            <w:pPr>
              <w:rPr>
                <w:rFonts w:ascii="新細明體" w:eastAsia="新細明體" w:hAnsi="新細明體"/>
              </w:rPr>
            </w:pPr>
          </w:p>
        </w:tc>
        <w:tc>
          <w:tcPr>
            <w:tcW w:w="1276" w:type="dxa"/>
            <w:vMerge/>
          </w:tcPr>
          <w:p w14:paraId="7048F316" w14:textId="77777777" w:rsidR="003B3105" w:rsidRDefault="003B3105" w:rsidP="001E533B">
            <w:pPr>
              <w:rPr>
                <w:rFonts w:ascii="新細明體" w:eastAsia="新細明體" w:hAnsi="新細明體"/>
              </w:rPr>
            </w:pPr>
          </w:p>
        </w:tc>
        <w:tc>
          <w:tcPr>
            <w:tcW w:w="5386" w:type="dxa"/>
            <w:tcBorders>
              <w:top w:val="nil"/>
              <w:bottom w:val="nil"/>
            </w:tcBorders>
          </w:tcPr>
          <w:p w14:paraId="39A27A5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5.背書保證之管理。</w:t>
            </w:r>
          </w:p>
        </w:tc>
        <w:tc>
          <w:tcPr>
            <w:tcW w:w="5387" w:type="dxa"/>
            <w:tcBorders>
              <w:top w:val="nil"/>
              <w:bottom w:val="nil"/>
            </w:tcBorders>
          </w:tcPr>
          <w:p w14:paraId="293B61D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5.背書保證之管理。</w:t>
            </w:r>
          </w:p>
        </w:tc>
        <w:tc>
          <w:tcPr>
            <w:tcW w:w="2023" w:type="dxa"/>
            <w:vMerge/>
            <w:tcBorders>
              <w:right w:val="single" w:sz="12" w:space="0" w:color="auto"/>
            </w:tcBorders>
          </w:tcPr>
          <w:p w14:paraId="662595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686FFC" w14:textId="77777777">
        <w:tc>
          <w:tcPr>
            <w:tcW w:w="1384" w:type="dxa"/>
            <w:vMerge/>
            <w:tcBorders>
              <w:left w:val="single" w:sz="12" w:space="0" w:color="auto"/>
            </w:tcBorders>
          </w:tcPr>
          <w:p w14:paraId="313C9A37" w14:textId="77777777" w:rsidR="003B3105" w:rsidRDefault="003B3105" w:rsidP="001E533B">
            <w:pPr>
              <w:rPr>
                <w:rFonts w:ascii="新細明體" w:eastAsia="新細明體" w:hAnsi="新細明體"/>
              </w:rPr>
            </w:pPr>
          </w:p>
        </w:tc>
        <w:tc>
          <w:tcPr>
            <w:tcW w:w="1276" w:type="dxa"/>
            <w:vMerge/>
          </w:tcPr>
          <w:p w14:paraId="7CF504B9" w14:textId="77777777" w:rsidR="003B3105" w:rsidRDefault="003B3105" w:rsidP="001E533B">
            <w:pPr>
              <w:rPr>
                <w:rFonts w:ascii="新細明體" w:eastAsia="新細明體" w:hAnsi="新細明體"/>
              </w:rPr>
            </w:pPr>
          </w:p>
        </w:tc>
        <w:tc>
          <w:tcPr>
            <w:tcW w:w="5386" w:type="dxa"/>
            <w:tcBorders>
              <w:top w:val="nil"/>
              <w:bottom w:val="nil"/>
            </w:tcBorders>
          </w:tcPr>
          <w:p w14:paraId="5EC317C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6.負債承諾及或有事項之管理。</w:t>
            </w:r>
          </w:p>
        </w:tc>
        <w:tc>
          <w:tcPr>
            <w:tcW w:w="5387" w:type="dxa"/>
            <w:tcBorders>
              <w:top w:val="nil"/>
              <w:bottom w:val="nil"/>
            </w:tcBorders>
          </w:tcPr>
          <w:p w14:paraId="7D732C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6.負債承諾及或有事項之管理。</w:t>
            </w:r>
          </w:p>
        </w:tc>
        <w:tc>
          <w:tcPr>
            <w:tcW w:w="2023" w:type="dxa"/>
            <w:vMerge/>
            <w:tcBorders>
              <w:right w:val="single" w:sz="12" w:space="0" w:color="auto"/>
            </w:tcBorders>
          </w:tcPr>
          <w:p w14:paraId="4678EE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664F74" w14:textId="77777777">
        <w:tc>
          <w:tcPr>
            <w:tcW w:w="1384" w:type="dxa"/>
            <w:vMerge/>
            <w:tcBorders>
              <w:left w:val="single" w:sz="12" w:space="0" w:color="auto"/>
            </w:tcBorders>
          </w:tcPr>
          <w:p w14:paraId="499CDEED" w14:textId="77777777" w:rsidR="003B3105" w:rsidRDefault="003B3105" w:rsidP="001E533B">
            <w:pPr>
              <w:rPr>
                <w:rFonts w:ascii="新細明體" w:eastAsia="新細明體" w:hAnsi="新細明體"/>
              </w:rPr>
            </w:pPr>
          </w:p>
        </w:tc>
        <w:tc>
          <w:tcPr>
            <w:tcW w:w="1276" w:type="dxa"/>
            <w:vMerge/>
          </w:tcPr>
          <w:p w14:paraId="222115C6" w14:textId="77777777" w:rsidR="003B3105" w:rsidRDefault="003B3105" w:rsidP="001E533B">
            <w:pPr>
              <w:rPr>
                <w:rFonts w:ascii="新細明體" w:eastAsia="新細明體" w:hAnsi="新細明體"/>
              </w:rPr>
            </w:pPr>
          </w:p>
        </w:tc>
        <w:tc>
          <w:tcPr>
            <w:tcW w:w="5386" w:type="dxa"/>
            <w:tcBorders>
              <w:top w:val="nil"/>
              <w:bottom w:val="nil"/>
            </w:tcBorders>
          </w:tcPr>
          <w:p w14:paraId="6A4D011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7.職務授權及代理人制度之執行。</w:t>
            </w:r>
          </w:p>
        </w:tc>
        <w:tc>
          <w:tcPr>
            <w:tcW w:w="5387" w:type="dxa"/>
            <w:tcBorders>
              <w:top w:val="nil"/>
              <w:bottom w:val="nil"/>
            </w:tcBorders>
          </w:tcPr>
          <w:p w14:paraId="272F46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7.職務授權及代理人制度之執行。</w:t>
            </w:r>
          </w:p>
        </w:tc>
        <w:tc>
          <w:tcPr>
            <w:tcW w:w="2023" w:type="dxa"/>
            <w:vMerge/>
            <w:tcBorders>
              <w:right w:val="single" w:sz="12" w:space="0" w:color="auto"/>
            </w:tcBorders>
          </w:tcPr>
          <w:p w14:paraId="5BA85F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2777BD" w14:textId="77777777">
        <w:tc>
          <w:tcPr>
            <w:tcW w:w="1384" w:type="dxa"/>
            <w:vMerge/>
            <w:tcBorders>
              <w:left w:val="single" w:sz="12" w:space="0" w:color="auto"/>
            </w:tcBorders>
          </w:tcPr>
          <w:p w14:paraId="21030DED" w14:textId="77777777" w:rsidR="003B3105" w:rsidRDefault="003B3105" w:rsidP="001E533B">
            <w:pPr>
              <w:rPr>
                <w:rFonts w:ascii="新細明體" w:eastAsia="新細明體" w:hAnsi="新細明體"/>
              </w:rPr>
            </w:pPr>
          </w:p>
        </w:tc>
        <w:tc>
          <w:tcPr>
            <w:tcW w:w="1276" w:type="dxa"/>
            <w:vMerge/>
          </w:tcPr>
          <w:p w14:paraId="0D3A0F73" w14:textId="77777777" w:rsidR="003B3105" w:rsidRDefault="003B3105" w:rsidP="001E533B">
            <w:pPr>
              <w:rPr>
                <w:rFonts w:ascii="新細明體" w:eastAsia="新細明體" w:hAnsi="新細明體"/>
              </w:rPr>
            </w:pPr>
          </w:p>
        </w:tc>
        <w:tc>
          <w:tcPr>
            <w:tcW w:w="5386" w:type="dxa"/>
            <w:tcBorders>
              <w:top w:val="nil"/>
              <w:bottom w:val="nil"/>
            </w:tcBorders>
          </w:tcPr>
          <w:p w14:paraId="076F53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8.財務及非財務資訊之管理。</w:t>
            </w:r>
          </w:p>
        </w:tc>
        <w:tc>
          <w:tcPr>
            <w:tcW w:w="5387" w:type="dxa"/>
            <w:tcBorders>
              <w:top w:val="nil"/>
              <w:bottom w:val="nil"/>
            </w:tcBorders>
          </w:tcPr>
          <w:p w14:paraId="54EE623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8.財務及非財務資訊之管理。</w:t>
            </w:r>
          </w:p>
        </w:tc>
        <w:tc>
          <w:tcPr>
            <w:tcW w:w="2023" w:type="dxa"/>
            <w:vMerge/>
            <w:tcBorders>
              <w:right w:val="single" w:sz="12" w:space="0" w:color="auto"/>
            </w:tcBorders>
          </w:tcPr>
          <w:p w14:paraId="583BDA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B09E88" w14:textId="77777777">
        <w:tc>
          <w:tcPr>
            <w:tcW w:w="1384" w:type="dxa"/>
            <w:vMerge/>
            <w:tcBorders>
              <w:left w:val="single" w:sz="12" w:space="0" w:color="auto"/>
            </w:tcBorders>
          </w:tcPr>
          <w:p w14:paraId="04294E8D" w14:textId="77777777" w:rsidR="003B3105" w:rsidRDefault="003B3105" w:rsidP="001E533B">
            <w:pPr>
              <w:rPr>
                <w:rFonts w:ascii="新細明體" w:eastAsia="新細明體" w:hAnsi="新細明體"/>
              </w:rPr>
            </w:pPr>
          </w:p>
        </w:tc>
        <w:tc>
          <w:tcPr>
            <w:tcW w:w="1276" w:type="dxa"/>
            <w:vMerge/>
          </w:tcPr>
          <w:p w14:paraId="3FB7363D" w14:textId="77777777" w:rsidR="003B3105" w:rsidRDefault="003B3105" w:rsidP="001E533B">
            <w:pPr>
              <w:rPr>
                <w:rFonts w:ascii="新細明體" w:eastAsia="新細明體" w:hAnsi="新細明體"/>
              </w:rPr>
            </w:pPr>
          </w:p>
        </w:tc>
        <w:tc>
          <w:tcPr>
            <w:tcW w:w="5386" w:type="dxa"/>
            <w:tcBorders>
              <w:top w:val="nil"/>
              <w:bottom w:val="nil"/>
            </w:tcBorders>
          </w:tcPr>
          <w:p w14:paraId="72A892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9.關係人交易之管理。</w:t>
            </w:r>
          </w:p>
        </w:tc>
        <w:tc>
          <w:tcPr>
            <w:tcW w:w="5387" w:type="dxa"/>
            <w:tcBorders>
              <w:top w:val="nil"/>
              <w:bottom w:val="nil"/>
            </w:tcBorders>
          </w:tcPr>
          <w:p w14:paraId="4813ED9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9.關係人交易之管理。</w:t>
            </w:r>
          </w:p>
        </w:tc>
        <w:tc>
          <w:tcPr>
            <w:tcW w:w="2023" w:type="dxa"/>
            <w:vMerge/>
            <w:tcBorders>
              <w:right w:val="single" w:sz="12" w:space="0" w:color="auto"/>
            </w:tcBorders>
          </w:tcPr>
          <w:p w14:paraId="3F8E28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86EF21" w14:textId="77777777">
        <w:tc>
          <w:tcPr>
            <w:tcW w:w="1384" w:type="dxa"/>
            <w:vMerge/>
            <w:tcBorders>
              <w:left w:val="single" w:sz="12" w:space="0" w:color="auto"/>
            </w:tcBorders>
          </w:tcPr>
          <w:p w14:paraId="51BE9A34" w14:textId="77777777" w:rsidR="003B3105" w:rsidRDefault="003B3105" w:rsidP="001E533B">
            <w:pPr>
              <w:rPr>
                <w:rFonts w:ascii="新細明體" w:eastAsia="新細明體" w:hAnsi="新細明體"/>
              </w:rPr>
            </w:pPr>
          </w:p>
        </w:tc>
        <w:tc>
          <w:tcPr>
            <w:tcW w:w="1276" w:type="dxa"/>
            <w:vMerge/>
          </w:tcPr>
          <w:p w14:paraId="182E8BB8" w14:textId="77777777" w:rsidR="003B3105" w:rsidRDefault="003B3105" w:rsidP="001E533B">
            <w:pPr>
              <w:rPr>
                <w:rFonts w:ascii="新細明體" w:eastAsia="新細明體" w:hAnsi="新細明體"/>
              </w:rPr>
            </w:pPr>
          </w:p>
        </w:tc>
        <w:tc>
          <w:tcPr>
            <w:tcW w:w="5386" w:type="dxa"/>
            <w:tcBorders>
              <w:top w:val="nil"/>
              <w:bottom w:val="nil"/>
            </w:tcBorders>
          </w:tcPr>
          <w:p w14:paraId="4CB2C89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10.財務報表編製流程之管理，包括適用國際財務報導準則之管理、會計專業判斷程序、會計政策與估計值變動之流程等。</w:t>
            </w:r>
          </w:p>
        </w:tc>
        <w:tc>
          <w:tcPr>
            <w:tcW w:w="5387" w:type="dxa"/>
            <w:tcBorders>
              <w:top w:val="nil"/>
              <w:bottom w:val="nil"/>
            </w:tcBorders>
          </w:tcPr>
          <w:p w14:paraId="01C726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10.財務報表編製流程之管理，包括適用國際財務報導準則之管理、會計專業判斷程序、會計政策與估計值變動之流程等。</w:t>
            </w:r>
          </w:p>
        </w:tc>
        <w:tc>
          <w:tcPr>
            <w:tcW w:w="2023" w:type="dxa"/>
            <w:vMerge/>
            <w:tcBorders>
              <w:right w:val="single" w:sz="12" w:space="0" w:color="auto"/>
            </w:tcBorders>
          </w:tcPr>
          <w:p w14:paraId="5027377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00BF0F" w14:textId="77777777">
        <w:tc>
          <w:tcPr>
            <w:tcW w:w="1384" w:type="dxa"/>
            <w:vMerge/>
            <w:tcBorders>
              <w:left w:val="single" w:sz="12" w:space="0" w:color="auto"/>
            </w:tcBorders>
          </w:tcPr>
          <w:p w14:paraId="52907FE2" w14:textId="77777777" w:rsidR="003B3105" w:rsidRDefault="003B3105" w:rsidP="001E533B">
            <w:pPr>
              <w:rPr>
                <w:rFonts w:ascii="新細明體" w:eastAsia="新細明體" w:hAnsi="新細明體"/>
              </w:rPr>
            </w:pPr>
          </w:p>
        </w:tc>
        <w:tc>
          <w:tcPr>
            <w:tcW w:w="1276" w:type="dxa"/>
            <w:vMerge/>
          </w:tcPr>
          <w:p w14:paraId="0C86D21A" w14:textId="77777777" w:rsidR="003B3105" w:rsidRDefault="003B3105" w:rsidP="001E533B">
            <w:pPr>
              <w:rPr>
                <w:rFonts w:ascii="新細明體" w:eastAsia="新細明體" w:hAnsi="新細明體"/>
              </w:rPr>
            </w:pPr>
          </w:p>
        </w:tc>
        <w:tc>
          <w:tcPr>
            <w:tcW w:w="5386" w:type="dxa"/>
            <w:tcBorders>
              <w:top w:val="nil"/>
              <w:bottom w:val="nil"/>
            </w:tcBorders>
          </w:tcPr>
          <w:p w14:paraId="2B36F07C"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11.對子公司之監督與管理。</w:t>
            </w:r>
          </w:p>
        </w:tc>
        <w:tc>
          <w:tcPr>
            <w:tcW w:w="5387" w:type="dxa"/>
            <w:tcBorders>
              <w:top w:val="nil"/>
              <w:bottom w:val="nil"/>
            </w:tcBorders>
          </w:tcPr>
          <w:p w14:paraId="75B491F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11.對子公司之監督與管理。</w:t>
            </w:r>
          </w:p>
        </w:tc>
        <w:tc>
          <w:tcPr>
            <w:tcW w:w="2023" w:type="dxa"/>
            <w:vMerge/>
            <w:tcBorders>
              <w:right w:val="single" w:sz="12" w:space="0" w:color="auto"/>
            </w:tcBorders>
          </w:tcPr>
          <w:p w14:paraId="2B51D2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A0E2E1" w14:textId="77777777">
        <w:tc>
          <w:tcPr>
            <w:tcW w:w="1384" w:type="dxa"/>
            <w:vMerge/>
            <w:tcBorders>
              <w:left w:val="single" w:sz="12" w:space="0" w:color="auto"/>
            </w:tcBorders>
          </w:tcPr>
          <w:p w14:paraId="20AE8AE7" w14:textId="77777777" w:rsidR="003B3105" w:rsidRDefault="003B3105" w:rsidP="001E533B">
            <w:pPr>
              <w:rPr>
                <w:rFonts w:ascii="新細明體" w:eastAsia="新細明體" w:hAnsi="新細明體"/>
              </w:rPr>
            </w:pPr>
          </w:p>
        </w:tc>
        <w:tc>
          <w:tcPr>
            <w:tcW w:w="1276" w:type="dxa"/>
            <w:vMerge/>
          </w:tcPr>
          <w:p w14:paraId="63137B7C" w14:textId="77777777" w:rsidR="003B3105" w:rsidRDefault="003B3105" w:rsidP="001E533B">
            <w:pPr>
              <w:rPr>
                <w:rFonts w:ascii="新細明體" w:eastAsia="新細明體" w:hAnsi="新細明體"/>
              </w:rPr>
            </w:pPr>
          </w:p>
        </w:tc>
        <w:tc>
          <w:tcPr>
            <w:tcW w:w="5386" w:type="dxa"/>
            <w:tcBorders>
              <w:top w:val="nil"/>
              <w:bottom w:val="nil"/>
            </w:tcBorders>
          </w:tcPr>
          <w:p w14:paraId="7D752D65"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12.法令遵循制度。</w:t>
            </w:r>
          </w:p>
        </w:tc>
        <w:tc>
          <w:tcPr>
            <w:tcW w:w="5387" w:type="dxa"/>
            <w:tcBorders>
              <w:top w:val="nil"/>
              <w:bottom w:val="nil"/>
            </w:tcBorders>
          </w:tcPr>
          <w:p w14:paraId="135B645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12.法令遵循制度。</w:t>
            </w:r>
          </w:p>
        </w:tc>
        <w:tc>
          <w:tcPr>
            <w:tcW w:w="2023" w:type="dxa"/>
            <w:vMerge/>
            <w:tcBorders>
              <w:right w:val="single" w:sz="12" w:space="0" w:color="auto"/>
            </w:tcBorders>
          </w:tcPr>
          <w:p w14:paraId="34263A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705842" w14:textId="77777777">
        <w:tc>
          <w:tcPr>
            <w:tcW w:w="1384" w:type="dxa"/>
            <w:vMerge/>
            <w:tcBorders>
              <w:left w:val="single" w:sz="12" w:space="0" w:color="auto"/>
            </w:tcBorders>
          </w:tcPr>
          <w:p w14:paraId="6C2C994B" w14:textId="77777777" w:rsidR="003B3105" w:rsidRDefault="003B3105" w:rsidP="001E533B">
            <w:pPr>
              <w:rPr>
                <w:rFonts w:ascii="新細明體" w:eastAsia="新細明體" w:hAnsi="新細明體"/>
              </w:rPr>
            </w:pPr>
          </w:p>
        </w:tc>
        <w:tc>
          <w:tcPr>
            <w:tcW w:w="1276" w:type="dxa"/>
            <w:vMerge/>
          </w:tcPr>
          <w:p w14:paraId="0601BDFF" w14:textId="77777777" w:rsidR="003B3105" w:rsidRDefault="003B3105" w:rsidP="001E533B">
            <w:pPr>
              <w:rPr>
                <w:rFonts w:ascii="新細明體" w:eastAsia="新細明體" w:hAnsi="新細明體"/>
              </w:rPr>
            </w:pPr>
          </w:p>
        </w:tc>
        <w:tc>
          <w:tcPr>
            <w:tcW w:w="5386" w:type="dxa"/>
            <w:tcBorders>
              <w:top w:val="nil"/>
              <w:bottom w:val="nil"/>
            </w:tcBorders>
          </w:tcPr>
          <w:p w14:paraId="0BE29AE9"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13.金融檢查報告之管理。</w:t>
            </w:r>
          </w:p>
        </w:tc>
        <w:tc>
          <w:tcPr>
            <w:tcW w:w="5387" w:type="dxa"/>
            <w:tcBorders>
              <w:top w:val="nil"/>
              <w:bottom w:val="nil"/>
            </w:tcBorders>
          </w:tcPr>
          <w:p w14:paraId="0F5D83C3"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13.金融檢查報告之管理。</w:t>
            </w:r>
          </w:p>
        </w:tc>
        <w:tc>
          <w:tcPr>
            <w:tcW w:w="2023" w:type="dxa"/>
            <w:vMerge/>
            <w:tcBorders>
              <w:right w:val="single" w:sz="12" w:space="0" w:color="auto"/>
            </w:tcBorders>
          </w:tcPr>
          <w:p w14:paraId="11947C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63735B" w14:textId="77777777">
        <w:tc>
          <w:tcPr>
            <w:tcW w:w="1384" w:type="dxa"/>
            <w:vMerge/>
            <w:tcBorders>
              <w:left w:val="single" w:sz="12" w:space="0" w:color="auto"/>
            </w:tcBorders>
          </w:tcPr>
          <w:p w14:paraId="58F692BF" w14:textId="77777777" w:rsidR="003B3105" w:rsidRDefault="003B3105" w:rsidP="001E533B">
            <w:pPr>
              <w:rPr>
                <w:rFonts w:ascii="新細明體" w:eastAsia="新細明體" w:hAnsi="新細明體"/>
              </w:rPr>
            </w:pPr>
          </w:p>
        </w:tc>
        <w:tc>
          <w:tcPr>
            <w:tcW w:w="1276" w:type="dxa"/>
            <w:vMerge/>
          </w:tcPr>
          <w:p w14:paraId="0668A120" w14:textId="77777777" w:rsidR="003B3105" w:rsidRDefault="003B3105" w:rsidP="001E533B">
            <w:pPr>
              <w:rPr>
                <w:rFonts w:ascii="新細明體" w:eastAsia="新細明體" w:hAnsi="新細明體"/>
              </w:rPr>
            </w:pPr>
          </w:p>
        </w:tc>
        <w:tc>
          <w:tcPr>
            <w:tcW w:w="5386" w:type="dxa"/>
            <w:tcBorders>
              <w:top w:val="nil"/>
              <w:bottom w:val="nil"/>
            </w:tcBorders>
          </w:tcPr>
          <w:p w14:paraId="76FA0623"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14.金融消費者保護之管理。但依金融消費者保護法第三條第二項排除適用之事業，不在此限。</w:t>
            </w:r>
          </w:p>
        </w:tc>
        <w:tc>
          <w:tcPr>
            <w:tcW w:w="5387" w:type="dxa"/>
            <w:tcBorders>
              <w:top w:val="nil"/>
              <w:bottom w:val="nil"/>
            </w:tcBorders>
          </w:tcPr>
          <w:p w14:paraId="70CA71C9"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14.金融消費者保護之管理。但依金融消費者保護法第三條第二項排除適用之事業，不在此限。</w:t>
            </w:r>
          </w:p>
        </w:tc>
        <w:tc>
          <w:tcPr>
            <w:tcW w:w="2023" w:type="dxa"/>
            <w:vMerge/>
            <w:tcBorders>
              <w:right w:val="single" w:sz="12" w:space="0" w:color="auto"/>
            </w:tcBorders>
          </w:tcPr>
          <w:p w14:paraId="217C1C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9DA53C" w14:textId="77777777">
        <w:tc>
          <w:tcPr>
            <w:tcW w:w="1384" w:type="dxa"/>
            <w:vMerge/>
            <w:tcBorders>
              <w:left w:val="single" w:sz="12" w:space="0" w:color="auto"/>
            </w:tcBorders>
          </w:tcPr>
          <w:p w14:paraId="4F4D313D" w14:textId="77777777" w:rsidR="003B3105" w:rsidRDefault="003B3105" w:rsidP="001E533B">
            <w:pPr>
              <w:rPr>
                <w:rFonts w:ascii="新細明體" w:eastAsia="新細明體" w:hAnsi="新細明體"/>
              </w:rPr>
            </w:pPr>
          </w:p>
        </w:tc>
        <w:tc>
          <w:tcPr>
            <w:tcW w:w="1276" w:type="dxa"/>
            <w:vMerge/>
          </w:tcPr>
          <w:p w14:paraId="5F66E06D" w14:textId="77777777" w:rsidR="003B3105" w:rsidRDefault="003B3105" w:rsidP="001E533B">
            <w:pPr>
              <w:rPr>
                <w:rFonts w:ascii="新細明體" w:eastAsia="新細明體" w:hAnsi="新細明體"/>
              </w:rPr>
            </w:pPr>
          </w:p>
        </w:tc>
        <w:tc>
          <w:tcPr>
            <w:tcW w:w="5386" w:type="dxa"/>
            <w:tcBorders>
              <w:top w:val="nil"/>
              <w:bottom w:val="nil"/>
            </w:tcBorders>
          </w:tcPr>
          <w:p w14:paraId="08BCABB0"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15.董事會議事運作之管理及股務作業之管理（股票公開發行之證券商適用）。</w:t>
            </w:r>
          </w:p>
        </w:tc>
        <w:tc>
          <w:tcPr>
            <w:tcW w:w="5387" w:type="dxa"/>
            <w:tcBorders>
              <w:top w:val="nil"/>
              <w:bottom w:val="nil"/>
            </w:tcBorders>
          </w:tcPr>
          <w:p w14:paraId="49133C9A"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15.董事會議事運作之管理及股務作業之管理（股票公開發行之證券商適用）。</w:t>
            </w:r>
          </w:p>
        </w:tc>
        <w:tc>
          <w:tcPr>
            <w:tcW w:w="2023" w:type="dxa"/>
            <w:vMerge/>
            <w:tcBorders>
              <w:right w:val="single" w:sz="12" w:space="0" w:color="auto"/>
            </w:tcBorders>
          </w:tcPr>
          <w:p w14:paraId="0208CC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03ADC4" w14:textId="77777777">
        <w:tc>
          <w:tcPr>
            <w:tcW w:w="1384" w:type="dxa"/>
            <w:vMerge/>
            <w:tcBorders>
              <w:left w:val="single" w:sz="12" w:space="0" w:color="auto"/>
            </w:tcBorders>
          </w:tcPr>
          <w:p w14:paraId="08D8A341" w14:textId="77777777" w:rsidR="003B3105" w:rsidRDefault="003B3105" w:rsidP="001E533B">
            <w:pPr>
              <w:rPr>
                <w:rFonts w:ascii="新細明體" w:eastAsia="新細明體" w:hAnsi="新細明體"/>
              </w:rPr>
            </w:pPr>
          </w:p>
        </w:tc>
        <w:tc>
          <w:tcPr>
            <w:tcW w:w="1276" w:type="dxa"/>
            <w:vMerge/>
          </w:tcPr>
          <w:p w14:paraId="79FB9E6C" w14:textId="77777777" w:rsidR="003B3105" w:rsidRDefault="003B3105" w:rsidP="001E533B">
            <w:pPr>
              <w:rPr>
                <w:rFonts w:ascii="新細明體" w:eastAsia="新細明體" w:hAnsi="新細明體"/>
              </w:rPr>
            </w:pPr>
          </w:p>
        </w:tc>
        <w:tc>
          <w:tcPr>
            <w:tcW w:w="5386" w:type="dxa"/>
            <w:tcBorders>
              <w:top w:val="nil"/>
              <w:bottom w:val="nil"/>
            </w:tcBorders>
          </w:tcPr>
          <w:p w14:paraId="44F97CB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16.薪資報酬委員會運作之管理（股票已上市或在證券商營業處所買賣之證券商適用）</w:t>
            </w:r>
          </w:p>
        </w:tc>
        <w:tc>
          <w:tcPr>
            <w:tcW w:w="5387" w:type="dxa"/>
            <w:tcBorders>
              <w:top w:val="nil"/>
              <w:bottom w:val="nil"/>
            </w:tcBorders>
          </w:tcPr>
          <w:p w14:paraId="3232261D"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16.薪資報酬委員會運作之管理（股票已上市或在證券商營業處所買賣之證券商適用）</w:t>
            </w:r>
          </w:p>
        </w:tc>
        <w:tc>
          <w:tcPr>
            <w:tcW w:w="2023" w:type="dxa"/>
            <w:vMerge/>
            <w:tcBorders>
              <w:right w:val="single" w:sz="12" w:space="0" w:color="auto"/>
            </w:tcBorders>
          </w:tcPr>
          <w:p w14:paraId="48ECF1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8E1D46" w14:textId="77777777">
        <w:tc>
          <w:tcPr>
            <w:tcW w:w="1384" w:type="dxa"/>
            <w:vMerge/>
            <w:tcBorders>
              <w:left w:val="single" w:sz="12" w:space="0" w:color="auto"/>
            </w:tcBorders>
          </w:tcPr>
          <w:p w14:paraId="392E0F92" w14:textId="77777777" w:rsidR="003B3105" w:rsidRDefault="003B3105" w:rsidP="001E533B">
            <w:pPr>
              <w:rPr>
                <w:rFonts w:ascii="新細明體" w:eastAsia="新細明體" w:hAnsi="新細明體"/>
              </w:rPr>
            </w:pPr>
          </w:p>
        </w:tc>
        <w:tc>
          <w:tcPr>
            <w:tcW w:w="1276" w:type="dxa"/>
            <w:vMerge/>
          </w:tcPr>
          <w:p w14:paraId="371825F0" w14:textId="77777777" w:rsidR="003B3105" w:rsidRDefault="003B3105" w:rsidP="001E533B">
            <w:pPr>
              <w:rPr>
                <w:rFonts w:ascii="新細明體" w:eastAsia="新細明體" w:hAnsi="新細明體"/>
              </w:rPr>
            </w:pPr>
          </w:p>
        </w:tc>
        <w:tc>
          <w:tcPr>
            <w:tcW w:w="5386" w:type="dxa"/>
            <w:tcBorders>
              <w:top w:val="nil"/>
              <w:bottom w:val="nil"/>
            </w:tcBorders>
          </w:tcPr>
          <w:p w14:paraId="3474301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17.防範內線交易之管理（股票已上市或在證券商營業處所買賣之證券商、金控及上市櫃公司之證券子公司適用）。</w:t>
            </w:r>
          </w:p>
        </w:tc>
        <w:tc>
          <w:tcPr>
            <w:tcW w:w="5387" w:type="dxa"/>
            <w:tcBorders>
              <w:top w:val="nil"/>
              <w:bottom w:val="nil"/>
            </w:tcBorders>
          </w:tcPr>
          <w:p w14:paraId="6866D71F"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17.防範內線交易之管理（股票已上市或在證券商營業處所買賣之證券商、金控及上市櫃公司之證券子公司適用）。</w:t>
            </w:r>
          </w:p>
        </w:tc>
        <w:tc>
          <w:tcPr>
            <w:tcW w:w="2023" w:type="dxa"/>
            <w:vMerge/>
            <w:tcBorders>
              <w:right w:val="single" w:sz="12" w:space="0" w:color="auto"/>
            </w:tcBorders>
          </w:tcPr>
          <w:p w14:paraId="4C57B3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BC24AC" w14:textId="77777777">
        <w:tc>
          <w:tcPr>
            <w:tcW w:w="1384" w:type="dxa"/>
            <w:vMerge/>
            <w:tcBorders>
              <w:left w:val="single" w:sz="12" w:space="0" w:color="auto"/>
            </w:tcBorders>
          </w:tcPr>
          <w:p w14:paraId="7605F638" w14:textId="77777777" w:rsidR="003B3105" w:rsidRDefault="003B3105" w:rsidP="001E533B">
            <w:pPr>
              <w:rPr>
                <w:rFonts w:ascii="新細明體" w:eastAsia="新細明體" w:hAnsi="新細明體"/>
              </w:rPr>
            </w:pPr>
          </w:p>
        </w:tc>
        <w:tc>
          <w:tcPr>
            <w:tcW w:w="1276" w:type="dxa"/>
            <w:vMerge/>
          </w:tcPr>
          <w:p w14:paraId="5DC3C2D8" w14:textId="77777777" w:rsidR="003B3105" w:rsidRDefault="003B3105" w:rsidP="001E533B">
            <w:pPr>
              <w:rPr>
                <w:rFonts w:ascii="新細明體" w:eastAsia="新細明體" w:hAnsi="新細明體"/>
              </w:rPr>
            </w:pPr>
          </w:p>
        </w:tc>
        <w:tc>
          <w:tcPr>
            <w:tcW w:w="5386" w:type="dxa"/>
            <w:tcBorders>
              <w:top w:val="nil"/>
              <w:bottom w:val="nil"/>
            </w:tcBorders>
          </w:tcPr>
          <w:p w14:paraId="3A16C617"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18.客戶資料保密。</w:t>
            </w:r>
          </w:p>
        </w:tc>
        <w:tc>
          <w:tcPr>
            <w:tcW w:w="5387" w:type="dxa"/>
            <w:tcBorders>
              <w:top w:val="nil"/>
              <w:bottom w:val="nil"/>
            </w:tcBorders>
          </w:tcPr>
          <w:p w14:paraId="16BA303B"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18.客戶資料保密。</w:t>
            </w:r>
          </w:p>
        </w:tc>
        <w:tc>
          <w:tcPr>
            <w:tcW w:w="2023" w:type="dxa"/>
            <w:vMerge/>
            <w:tcBorders>
              <w:right w:val="single" w:sz="12" w:space="0" w:color="auto"/>
            </w:tcBorders>
          </w:tcPr>
          <w:p w14:paraId="7FD9130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622AC1" w14:textId="77777777">
        <w:tc>
          <w:tcPr>
            <w:tcW w:w="1384" w:type="dxa"/>
            <w:vMerge/>
            <w:tcBorders>
              <w:left w:val="single" w:sz="12" w:space="0" w:color="auto"/>
            </w:tcBorders>
          </w:tcPr>
          <w:p w14:paraId="5DD7C39B" w14:textId="77777777" w:rsidR="003B3105" w:rsidRDefault="003B3105" w:rsidP="001E533B">
            <w:pPr>
              <w:rPr>
                <w:rFonts w:ascii="新細明體" w:eastAsia="新細明體" w:hAnsi="新細明體"/>
              </w:rPr>
            </w:pPr>
          </w:p>
        </w:tc>
        <w:tc>
          <w:tcPr>
            <w:tcW w:w="1276" w:type="dxa"/>
            <w:vMerge/>
          </w:tcPr>
          <w:p w14:paraId="39780B71" w14:textId="77777777" w:rsidR="003B3105" w:rsidRDefault="003B3105" w:rsidP="001E533B">
            <w:pPr>
              <w:rPr>
                <w:rFonts w:ascii="新細明體" w:eastAsia="新細明體" w:hAnsi="新細明體"/>
              </w:rPr>
            </w:pPr>
          </w:p>
        </w:tc>
        <w:tc>
          <w:tcPr>
            <w:tcW w:w="5386" w:type="dxa"/>
            <w:tcBorders>
              <w:top w:val="nil"/>
              <w:bottom w:val="nil"/>
            </w:tcBorders>
          </w:tcPr>
          <w:p w14:paraId="4D5BCABD"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19.公司已依證券交易法規定設置審計委員會者，其內部控制制度，應包括審計委員會議事運作之管理。</w:t>
            </w:r>
          </w:p>
        </w:tc>
        <w:tc>
          <w:tcPr>
            <w:tcW w:w="5387" w:type="dxa"/>
            <w:tcBorders>
              <w:top w:val="nil"/>
              <w:bottom w:val="nil"/>
            </w:tcBorders>
          </w:tcPr>
          <w:p w14:paraId="557D829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19.公司已依證券交易法規定設置審計委員會者，其內部控制制度，應包括審計委員會議事運作之管理。</w:t>
            </w:r>
          </w:p>
        </w:tc>
        <w:tc>
          <w:tcPr>
            <w:tcW w:w="2023" w:type="dxa"/>
            <w:vMerge/>
            <w:tcBorders>
              <w:right w:val="single" w:sz="12" w:space="0" w:color="auto"/>
            </w:tcBorders>
          </w:tcPr>
          <w:p w14:paraId="4B078A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BAC889" w14:textId="77777777">
        <w:tc>
          <w:tcPr>
            <w:tcW w:w="1384" w:type="dxa"/>
            <w:vMerge/>
            <w:tcBorders>
              <w:left w:val="single" w:sz="12" w:space="0" w:color="auto"/>
            </w:tcBorders>
          </w:tcPr>
          <w:p w14:paraId="000F33DD" w14:textId="77777777" w:rsidR="003B3105" w:rsidRDefault="003B3105" w:rsidP="001E533B">
            <w:pPr>
              <w:rPr>
                <w:rFonts w:ascii="新細明體" w:eastAsia="新細明體" w:hAnsi="新細明體"/>
              </w:rPr>
            </w:pPr>
          </w:p>
        </w:tc>
        <w:tc>
          <w:tcPr>
            <w:tcW w:w="1276" w:type="dxa"/>
            <w:vMerge/>
          </w:tcPr>
          <w:p w14:paraId="6245619A" w14:textId="77777777" w:rsidR="003B3105" w:rsidRDefault="003B3105" w:rsidP="001E533B">
            <w:pPr>
              <w:rPr>
                <w:rFonts w:ascii="新細明體" w:eastAsia="新細明體" w:hAnsi="新細明體"/>
              </w:rPr>
            </w:pPr>
          </w:p>
        </w:tc>
        <w:tc>
          <w:tcPr>
            <w:tcW w:w="5386" w:type="dxa"/>
            <w:tcBorders>
              <w:top w:val="nil"/>
              <w:bottom w:val="nil"/>
            </w:tcBorders>
          </w:tcPr>
          <w:p w14:paraId="1ABE3341"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20.重大事件（如：重大違規、遭受重大損</w:t>
            </w:r>
            <w:r>
              <w:rPr>
                <w:rFonts w:ascii="新細明體" w:eastAsia="新細明體" w:hAnsi="新細明體" w:cs="新細明體" w:hint="eastAsia"/>
              </w:rPr>
              <w:lastRenderedPageBreak/>
              <w:t>失之虞等）處理及通報機制之管理。</w:t>
            </w:r>
          </w:p>
        </w:tc>
        <w:tc>
          <w:tcPr>
            <w:tcW w:w="5387" w:type="dxa"/>
            <w:tcBorders>
              <w:top w:val="nil"/>
              <w:bottom w:val="nil"/>
            </w:tcBorders>
          </w:tcPr>
          <w:p w14:paraId="0DC111B8"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lastRenderedPageBreak/>
              <w:t>20.重大事件（如：重大違規、遭受重大損</w:t>
            </w:r>
            <w:r>
              <w:rPr>
                <w:rFonts w:ascii="新細明體" w:eastAsia="新細明體" w:hAnsi="新細明體" w:cs="新細明體" w:hint="eastAsia"/>
              </w:rPr>
              <w:lastRenderedPageBreak/>
              <w:t>失之虞等）處理及通報機制之管理。</w:t>
            </w:r>
          </w:p>
        </w:tc>
        <w:tc>
          <w:tcPr>
            <w:tcW w:w="2023" w:type="dxa"/>
            <w:vMerge/>
            <w:tcBorders>
              <w:right w:val="single" w:sz="12" w:space="0" w:color="auto"/>
            </w:tcBorders>
          </w:tcPr>
          <w:p w14:paraId="42D16F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18C05C" w14:textId="77777777">
        <w:tc>
          <w:tcPr>
            <w:tcW w:w="1384" w:type="dxa"/>
            <w:vMerge/>
            <w:tcBorders>
              <w:left w:val="single" w:sz="12" w:space="0" w:color="auto"/>
            </w:tcBorders>
          </w:tcPr>
          <w:p w14:paraId="53AC3165" w14:textId="77777777" w:rsidR="003B3105" w:rsidRDefault="003B3105" w:rsidP="001E533B">
            <w:pPr>
              <w:rPr>
                <w:rFonts w:ascii="新細明體" w:eastAsia="新細明體" w:hAnsi="新細明體"/>
              </w:rPr>
            </w:pPr>
          </w:p>
        </w:tc>
        <w:tc>
          <w:tcPr>
            <w:tcW w:w="1276" w:type="dxa"/>
            <w:vMerge/>
          </w:tcPr>
          <w:p w14:paraId="0FEFD2D3" w14:textId="77777777" w:rsidR="003B3105" w:rsidRDefault="003B3105" w:rsidP="001E533B">
            <w:pPr>
              <w:rPr>
                <w:rFonts w:ascii="新細明體" w:eastAsia="新細明體" w:hAnsi="新細明體"/>
              </w:rPr>
            </w:pPr>
          </w:p>
        </w:tc>
        <w:tc>
          <w:tcPr>
            <w:tcW w:w="5386" w:type="dxa"/>
            <w:tcBorders>
              <w:top w:val="nil"/>
              <w:bottom w:val="nil"/>
            </w:tcBorders>
          </w:tcPr>
          <w:p w14:paraId="7E77A80A"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21.防制洗錢及打擊資恐機制及相關法令之遵循管理，包括辨識、衡量、監控洗錢及資恐風險之管理機制。</w:t>
            </w:r>
          </w:p>
        </w:tc>
        <w:tc>
          <w:tcPr>
            <w:tcW w:w="5387" w:type="dxa"/>
            <w:tcBorders>
              <w:top w:val="nil"/>
              <w:bottom w:val="nil"/>
            </w:tcBorders>
          </w:tcPr>
          <w:p w14:paraId="4F767B19"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21.防制洗錢及打擊資恐機制及相關法令之遵循管理，包括辨識、衡量、監控洗錢及資恐風險之管理機制。</w:t>
            </w:r>
          </w:p>
        </w:tc>
        <w:tc>
          <w:tcPr>
            <w:tcW w:w="2023" w:type="dxa"/>
            <w:vMerge/>
            <w:tcBorders>
              <w:right w:val="single" w:sz="12" w:space="0" w:color="auto"/>
            </w:tcBorders>
          </w:tcPr>
          <w:p w14:paraId="0F5D44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F7D54E" w14:textId="77777777">
        <w:tc>
          <w:tcPr>
            <w:tcW w:w="1384" w:type="dxa"/>
            <w:vMerge/>
            <w:tcBorders>
              <w:left w:val="single" w:sz="12" w:space="0" w:color="auto"/>
            </w:tcBorders>
          </w:tcPr>
          <w:p w14:paraId="38983A33" w14:textId="77777777" w:rsidR="003B3105" w:rsidRDefault="003B3105" w:rsidP="001E533B">
            <w:pPr>
              <w:rPr>
                <w:rFonts w:ascii="新細明體" w:eastAsia="新細明體" w:hAnsi="新細明體"/>
              </w:rPr>
            </w:pPr>
          </w:p>
        </w:tc>
        <w:tc>
          <w:tcPr>
            <w:tcW w:w="1276" w:type="dxa"/>
            <w:vMerge/>
          </w:tcPr>
          <w:p w14:paraId="42FD99E2" w14:textId="77777777" w:rsidR="003B3105" w:rsidRDefault="003B3105" w:rsidP="001E533B">
            <w:pPr>
              <w:rPr>
                <w:rFonts w:ascii="新細明體" w:eastAsia="新細明體" w:hAnsi="新細明體"/>
              </w:rPr>
            </w:pPr>
          </w:p>
        </w:tc>
        <w:tc>
          <w:tcPr>
            <w:tcW w:w="5386" w:type="dxa"/>
            <w:tcBorders>
              <w:top w:val="nil"/>
              <w:bottom w:val="nil"/>
            </w:tcBorders>
          </w:tcPr>
          <w:p w14:paraId="1605476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22.設有國內外分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（或子公司）者，應建立集團整體性防制洗錢及打擊資恐計畫，包括在符合國外分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（或子公司）當地法令下，以防制洗錢及打擊資恐為目的之集團內資訊分享政策及程序。</w:t>
            </w:r>
          </w:p>
        </w:tc>
        <w:tc>
          <w:tcPr>
            <w:tcW w:w="5387" w:type="dxa"/>
            <w:tcBorders>
              <w:top w:val="nil"/>
              <w:bottom w:val="nil"/>
            </w:tcBorders>
          </w:tcPr>
          <w:p w14:paraId="6390D4CA"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22.設有國內外分</w:t>
            </w:r>
            <w:r>
              <w:rPr>
                <w:rFonts w:ascii="新細明體" w:eastAsia="新細明體" w:hAnsi="新細明體" w:cs="新細明體" w:hint="eastAsia"/>
                <w:b/>
                <w:color w:val="FF0000"/>
              </w:rPr>
              <w:t>公司</w:t>
            </w:r>
            <w:r>
              <w:rPr>
                <w:rFonts w:ascii="新細明體" w:eastAsia="新細明體" w:hAnsi="新細明體" w:cs="新細明體" w:hint="eastAsia"/>
              </w:rPr>
              <w:t>（或子公司）者，應建立集團整體性防制洗錢及打擊資恐計畫，包括在符合國外分</w:t>
            </w:r>
            <w:r>
              <w:rPr>
                <w:rFonts w:ascii="新細明體" w:eastAsia="新細明體" w:hAnsi="新細明體" w:cs="新細明體" w:hint="eastAsia"/>
                <w:b/>
                <w:color w:val="FF0000"/>
              </w:rPr>
              <w:t>公司</w:t>
            </w:r>
            <w:r>
              <w:rPr>
                <w:rFonts w:ascii="新細明體" w:eastAsia="新細明體" w:hAnsi="新細明體" w:cs="新細明體" w:hint="eastAsia"/>
              </w:rPr>
              <w:t>（或子公司）當地法令下，以防制洗錢及打擊資恐為目的之集團內資訊分享政策及程序。</w:t>
            </w:r>
          </w:p>
        </w:tc>
        <w:tc>
          <w:tcPr>
            <w:tcW w:w="2023" w:type="dxa"/>
            <w:vMerge/>
            <w:tcBorders>
              <w:right w:val="single" w:sz="12" w:space="0" w:color="auto"/>
            </w:tcBorders>
          </w:tcPr>
          <w:p w14:paraId="464047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2E6164" w14:textId="77777777">
        <w:tc>
          <w:tcPr>
            <w:tcW w:w="1384" w:type="dxa"/>
            <w:vMerge/>
            <w:tcBorders>
              <w:left w:val="single" w:sz="12" w:space="0" w:color="auto"/>
            </w:tcBorders>
          </w:tcPr>
          <w:p w14:paraId="00BED526" w14:textId="77777777" w:rsidR="003B3105" w:rsidRDefault="003B3105" w:rsidP="001E533B">
            <w:pPr>
              <w:rPr>
                <w:rFonts w:ascii="新細明體" w:eastAsia="新細明體" w:hAnsi="新細明體"/>
              </w:rPr>
            </w:pPr>
          </w:p>
        </w:tc>
        <w:tc>
          <w:tcPr>
            <w:tcW w:w="1276" w:type="dxa"/>
            <w:vMerge/>
          </w:tcPr>
          <w:p w14:paraId="3403D50B" w14:textId="77777777" w:rsidR="003B3105" w:rsidRDefault="003B3105" w:rsidP="001E533B">
            <w:pPr>
              <w:rPr>
                <w:rFonts w:ascii="新細明體" w:eastAsia="新細明體" w:hAnsi="新細明體"/>
              </w:rPr>
            </w:pPr>
          </w:p>
        </w:tc>
        <w:tc>
          <w:tcPr>
            <w:tcW w:w="5386" w:type="dxa"/>
            <w:tcBorders>
              <w:top w:val="nil"/>
              <w:bottom w:val="nil"/>
            </w:tcBorders>
          </w:tcPr>
          <w:p w14:paraId="1210D05B"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23.檢舉制度。</w:t>
            </w:r>
          </w:p>
        </w:tc>
        <w:tc>
          <w:tcPr>
            <w:tcW w:w="5387" w:type="dxa"/>
            <w:tcBorders>
              <w:top w:val="nil"/>
              <w:bottom w:val="nil"/>
            </w:tcBorders>
          </w:tcPr>
          <w:p w14:paraId="2A15EB5E"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23.檢舉制度。</w:t>
            </w:r>
          </w:p>
        </w:tc>
        <w:tc>
          <w:tcPr>
            <w:tcW w:w="2023" w:type="dxa"/>
            <w:vMerge/>
            <w:tcBorders>
              <w:right w:val="single" w:sz="12" w:space="0" w:color="auto"/>
            </w:tcBorders>
          </w:tcPr>
          <w:p w14:paraId="25F34F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3B44B1" w14:textId="77777777">
        <w:tc>
          <w:tcPr>
            <w:tcW w:w="1384" w:type="dxa"/>
            <w:vMerge/>
            <w:tcBorders>
              <w:left w:val="single" w:sz="12" w:space="0" w:color="auto"/>
            </w:tcBorders>
          </w:tcPr>
          <w:p w14:paraId="485AF95B" w14:textId="77777777" w:rsidR="003B3105" w:rsidRDefault="003B3105" w:rsidP="001E533B">
            <w:pPr>
              <w:rPr>
                <w:rFonts w:ascii="新細明體" w:eastAsia="新細明體" w:hAnsi="新細明體"/>
              </w:rPr>
            </w:pPr>
          </w:p>
        </w:tc>
        <w:tc>
          <w:tcPr>
            <w:tcW w:w="1276" w:type="dxa"/>
            <w:vMerge/>
          </w:tcPr>
          <w:p w14:paraId="651CE6D9" w14:textId="77777777" w:rsidR="003B3105" w:rsidRDefault="003B3105" w:rsidP="001E533B">
            <w:pPr>
              <w:rPr>
                <w:rFonts w:ascii="新細明體" w:eastAsia="新細明體" w:hAnsi="新細明體"/>
              </w:rPr>
            </w:pPr>
          </w:p>
        </w:tc>
        <w:tc>
          <w:tcPr>
            <w:tcW w:w="5386" w:type="dxa"/>
            <w:tcBorders>
              <w:top w:val="nil"/>
              <w:bottom w:val="nil"/>
            </w:tcBorders>
          </w:tcPr>
          <w:p w14:paraId="20D0F045"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24.作業委託他人處理之管理。</w:t>
            </w:r>
          </w:p>
        </w:tc>
        <w:tc>
          <w:tcPr>
            <w:tcW w:w="5387" w:type="dxa"/>
            <w:tcBorders>
              <w:top w:val="nil"/>
              <w:bottom w:val="nil"/>
            </w:tcBorders>
          </w:tcPr>
          <w:p w14:paraId="0A9E4DF4"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24.作業委託他人處理之管理。</w:t>
            </w:r>
          </w:p>
        </w:tc>
        <w:tc>
          <w:tcPr>
            <w:tcW w:w="2023" w:type="dxa"/>
            <w:vMerge/>
            <w:tcBorders>
              <w:right w:val="single" w:sz="12" w:space="0" w:color="auto"/>
            </w:tcBorders>
          </w:tcPr>
          <w:p w14:paraId="762136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E332D9" w14:textId="77777777">
        <w:tc>
          <w:tcPr>
            <w:tcW w:w="1384" w:type="dxa"/>
            <w:vMerge/>
            <w:tcBorders>
              <w:left w:val="single" w:sz="12" w:space="0" w:color="auto"/>
            </w:tcBorders>
          </w:tcPr>
          <w:p w14:paraId="43C71CD5" w14:textId="77777777" w:rsidR="003B3105" w:rsidRDefault="003B3105" w:rsidP="001E533B">
            <w:pPr>
              <w:rPr>
                <w:rFonts w:ascii="新細明體" w:eastAsia="新細明體" w:hAnsi="新細明體"/>
              </w:rPr>
            </w:pPr>
          </w:p>
        </w:tc>
        <w:tc>
          <w:tcPr>
            <w:tcW w:w="1276" w:type="dxa"/>
            <w:vMerge/>
          </w:tcPr>
          <w:p w14:paraId="48A9EBD3" w14:textId="77777777" w:rsidR="003B3105" w:rsidRDefault="003B3105" w:rsidP="001E533B">
            <w:pPr>
              <w:rPr>
                <w:rFonts w:ascii="新細明體" w:eastAsia="新細明體" w:hAnsi="新細明體"/>
              </w:rPr>
            </w:pPr>
          </w:p>
        </w:tc>
        <w:tc>
          <w:tcPr>
            <w:tcW w:w="5386" w:type="dxa"/>
            <w:tcBorders>
              <w:top w:val="nil"/>
              <w:bottom w:val="nil"/>
            </w:tcBorders>
          </w:tcPr>
          <w:p w14:paraId="39C8CC54"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25.永續資訊之管理（股票已上市或在證券商營業處所上櫃買賣之證券商適用）。</w:t>
            </w:r>
          </w:p>
        </w:tc>
        <w:tc>
          <w:tcPr>
            <w:tcW w:w="5387" w:type="dxa"/>
            <w:tcBorders>
              <w:top w:val="nil"/>
              <w:bottom w:val="nil"/>
            </w:tcBorders>
          </w:tcPr>
          <w:p w14:paraId="675381B6"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25.永續資訊之管理（股票已上市或在證券商營業處所上櫃買賣之證券商適用）。</w:t>
            </w:r>
          </w:p>
        </w:tc>
        <w:tc>
          <w:tcPr>
            <w:tcW w:w="2023" w:type="dxa"/>
            <w:vMerge/>
            <w:tcBorders>
              <w:right w:val="single" w:sz="12" w:space="0" w:color="auto"/>
            </w:tcBorders>
          </w:tcPr>
          <w:p w14:paraId="09A423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60091A" w14:textId="77777777">
        <w:tc>
          <w:tcPr>
            <w:tcW w:w="1384" w:type="dxa"/>
            <w:vMerge/>
            <w:tcBorders>
              <w:left w:val="single" w:sz="12" w:space="0" w:color="auto"/>
            </w:tcBorders>
          </w:tcPr>
          <w:p w14:paraId="3F229496" w14:textId="77777777" w:rsidR="003B3105" w:rsidRDefault="003B3105" w:rsidP="001E533B">
            <w:pPr>
              <w:rPr>
                <w:rFonts w:ascii="新細明體" w:eastAsia="新細明體" w:hAnsi="新細明體"/>
              </w:rPr>
            </w:pPr>
          </w:p>
        </w:tc>
        <w:tc>
          <w:tcPr>
            <w:tcW w:w="1276" w:type="dxa"/>
            <w:vMerge/>
          </w:tcPr>
          <w:p w14:paraId="2CAB0BBF" w14:textId="77777777" w:rsidR="003B3105" w:rsidRDefault="003B3105" w:rsidP="001E533B">
            <w:pPr>
              <w:rPr>
                <w:rFonts w:ascii="新細明體" w:eastAsia="新細明體" w:hAnsi="新細明體"/>
              </w:rPr>
            </w:pPr>
          </w:p>
        </w:tc>
        <w:tc>
          <w:tcPr>
            <w:tcW w:w="5386" w:type="dxa"/>
            <w:tcBorders>
              <w:top w:val="nil"/>
              <w:bottom w:val="nil"/>
            </w:tcBorders>
          </w:tcPr>
          <w:p w14:paraId="38EE5C47"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26.其他經主管機關指定之事項。</w:t>
            </w:r>
          </w:p>
        </w:tc>
        <w:tc>
          <w:tcPr>
            <w:tcW w:w="5387" w:type="dxa"/>
            <w:tcBorders>
              <w:top w:val="nil"/>
              <w:bottom w:val="nil"/>
            </w:tcBorders>
          </w:tcPr>
          <w:p w14:paraId="2B56EAFB" w14:textId="77777777" w:rsidR="003B3105" w:rsidRPr="00F6439B" w:rsidRDefault="0027008E" w:rsidP="003B3105">
            <w:pPr>
              <w:spacing w:line="360" w:lineRule="exact"/>
              <w:ind w:leftChars="208" w:left="947" w:hangingChars="156" w:hanging="406"/>
              <w:rPr>
                <w:rFonts w:ascii="新細明體" w:eastAsia="新細明體" w:hAnsi="新細明體" w:cs="新細明體"/>
              </w:rPr>
            </w:pPr>
            <w:r>
              <w:rPr>
                <w:rFonts w:ascii="新細明體" w:eastAsia="新細明體" w:hAnsi="新細明體" w:cs="新細明體" w:hint="eastAsia"/>
              </w:rPr>
              <w:t>26.其他經主管機關指定之事項。</w:t>
            </w:r>
          </w:p>
        </w:tc>
        <w:tc>
          <w:tcPr>
            <w:tcW w:w="2023" w:type="dxa"/>
            <w:vMerge/>
            <w:tcBorders>
              <w:right w:val="single" w:sz="12" w:space="0" w:color="auto"/>
            </w:tcBorders>
          </w:tcPr>
          <w:p w14:paraId="40817B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FADBE0" w14:textId="77777777">
        <w:tc>
          <w:tcPr>
            <w:tcW w:w="1384" w:type="dxa"/>
            <w:vMerge/>
            <w:tcBorders>
              <w:left w:val="single" w:sz="12" w:space="0" w:color="auto"/>
            </w:tcBorders>
          </w:tcPr>
          <w:p w14:paraId="7949FF69" w14:textId="77777777" w:rsidR="003B3105" w:rsidRDefault="003B3105" w:rsidP="001E533B">
            <w:pPr>
              <w:rPr>
                <w:rFonts w:ascii="新細明體" w:eastAsia="新細明體" w:hAnsi="新細明體"/>
              </w:rPr>
            </w:pPr>
          </w:p>
        </w:tc>
        <w:tc>
          <w:tcPr>
            <w:tcW w:w="1276" w:type="dxa"/>
            <w:vMerge/>
          </w:tcPr>
          <w:p w14:paraId="26D85E99" w14:textId="77777777" w:rsidR="003B3105" w:rsidRDefault="003B3105" w:rsidP="001E533B">
            <w:pPr>
              <w:rPr>
                <w:rFonts w:ascii="新細明體" w:eastAsia="新細明體" w:hAnsi="新細明體"/>
              </w:rPr>
            </w:pPr>
          </w:p>
        </w:tc>
        <w:tc>
          <w:tcPr>
            <w:tcW w:w="5386" w:type="dxa"/>
            <w:tcBorders>
              <w:top w:val="nil"/>
              <w:bottom w:val="nil"/>
            </w:tcBorders>
          </w:tcPr>
          <w:p w14:paraId="55B1EC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(二)故為便於內部控制制度之建立，宜將公司內部之主要活動作系統性之劃分，以相互關連之各項作業形成交易循環，建立彼此之關係。證券商之一般活動可劃分為下列八大單元：</w:t>
            </w:r>
          </w:p>
        </w:tc>
        <w:tc>
          <w:tcPr>
            <w:tcW w:w="5387" w:type="dxa"/>
            <w:tcBorders>
              <w:top w:val="nil"/>
              <w:bottom w:val="nil"/>
            </w:tcBorders>
          </w:tcPr>
          <w:p w14:paraId="25C5DB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(二)故為便於內部控制制度之建立，宜將公司內部之主要活動作系統性之劃分，以相互關連之各項作業形成交易循環，建立彼此之關係。證券商之一般活動可劃分為下列八大單元：</w:t>
            </w:r>
          </w:p>
        </w:tc>
        <w:tc>
          <w:tcPr>
            <w:tcW w:w="2023" w:type="dxa"/>
            <w:vMerge/>
            <w:tcBorders>
              <w:right w:val="single" w:sz="12" w:space="0" w:color="auto"/>
            </w:tcBorders>
          </w:tcPr>
          <w:p w14:paraId="328AE8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9633C2" w14:textId="77777777">
        <w:tc>
          <w:tcPr>
            <w:tcW w:w="1384" w:type="dxa"/>
            <w:vMerge/>
            <w:tcBorders>
              <w:left w:val="single" w:sz="12" w:space="0" w:color="auto"/>
            </w:tcBorders>
          </w:tcPr>
          <w:p w14:paraId="53D1D0B4" w14:textId="77777777" w:rsidR="003B3105" w:rsidRDefault="003B3105" w:rsidP="001E533B">
            <w:pPr>
              <w:rPr>
                <w:rFonts w:ascii="新細明體" w:eastAsia="新細明體" w:hAnsi="新細明體"/>
              </w:rPr>
            </w:pPr>
          </w:p>
        </w:tc>
        <w:tc>
          <w:tcPr>
            <w:tcW w:w="1276" w:type="dxa"/>
            <w:vMerge/>
          </w:tcPr>
          <w:p w14:paraId="3340694D" w14:textId="77777777" w:rsidR="003B3105" w:rsidRDefault="003B3105" w:rsidP="001E533B">
            <w:pPr>
              <w:rPr>
                <w:rFonts w:ascii="新細明體" w:eastAsia="新細明體" w:hAnsi="新細明體"/>
              </w:rPr>
            </w:pPr>
          </w:p>
        </w:tc>
        <w:tc>
          <w:tcPr>
            <w:tcW w:w="5386" w:type="dxa"/>
            <w:tcBorders>
              <w:top w:val="nil"/>
              <w:bottom w:val="nil"/>
            </w:tcBorders>
          </w:tcPr>
          <w:p w14:paraId="491475A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1.業務及收入循環</w:t>
            </w:r>
          </w:p>
        </w:tc>
        <w:tc>
          <w:tcPr>
            <w:tcW w:w="5387" w:type="dxa"/>
            <w:tcBorders>
              <w:top w:val="nil"/>
              <w:bottom w:val="nil"/>
            </w:tcBorders>
          </w:tcPr>
          <w:p w14:paraId="30F1865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1.業務及收入循環</w:t>
            </w:r>
          </w:p>
        </w:tc>
        <w:tc>
          <w:tcPr>
            <w:tcW w:w="2023" w:type="dxa"/>
            <w:vMerge/>
            <w:tcBorders>
              <w:right w:val="single" w:sz="12" w:space="0" w:color="auto"/>
            </w:tcBorders>
          </w:tcPr>
          <w:p w14:paraId="3CBBA4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D49528" w14:textId="77777777">
        <w:tc>
          <w:tcPr>
            <w:tcW w:w="1384" w:type="dxa"/>
            <w:vMerge/>
            <w:tcBorders>
              <w:left w:val="single" w:sz="12" w:space="0" w:color="auto"/>
            </w:tcBorders>
          </w:tcPr>
          <w:p w14:paraId="6E4C520C" w14:textId="77777777" w:rsidR="003B3105" w:rsidRDefault="003B3105" w:rsidP="001E533B">
            <w:pPr>
              <w:rPr>
                <w:rFonts w:ascii="新細明體" w:eastAsia="新細明體" w:hAnsi="新細明體"/>
              </w:rPr>
            </w:pPr>
          </w:p>
        </w:tc>
        <w:tc>
          <w:tcPr>
            <w:tcW w:w="1276" w:type="dxa"/>
            <w:vMerge/>
          </w:tcPr>
          <w:p w14:paraId="00F47586" w14:textId="77777777" w:rsidR="003B3105" w:rsidRDefault="003B3105" w:rsidP="001E533B">
            <w:pPr>
              <w:rPr>
                <w:rFonts w:ascii="新細明體" w:eastAsia="新細明體" w:hAnsi="新細明體"/>
              </w:rPr>
            </w:pPr>
          </w:p>
        </w:tc>
        <w:tc>
          <w:tcPr>
            <w:tcW w:w="5386" w:type="dxa"/>
            <w:tcBorders>
              <w:top w:val="nil"/>
              <w:bottom w:val="nil"/>
            </w:tcBorders>
          </w:tcPr>
          <w:p w14:paraId="3D4D3D2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2.採購及付款循環</w:t>
            </w:r>
          </w:p>
        </w:tc>
        <w:tc>
          <w:tcPr>
            <w:tcW w:w="5387" w:type="dxa"/>
            <w:tcBorders>
              <w:top w:val="nil"/>
              <w:bottom w:val="nil"/>
            </w:tcBorders>
          </w:tcPr>
          <w:p w14:paraId="573069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2.採購及付款循環</w:t>
            </w:r>
          </w:p>
        </w:tc>
        <w:tc>
          <w:tcPr>
            <w:tcW w:w="2023" w:type="dxa"/>
            <w:vMerge/>
            <w:tcBorders>
              <w:right w:val="single" w:sz="12" w:space="0" w:color="auto"/>
            </w:tcBorders>
          </w:tcPr>
          <w:p w14:paraId="775B62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09BA55" w14:textId="77777777">
        <w:tc>
          <w:tcPr>
            <w:tcW w:w="1384" w:type="dxa"/>
            <w:vMerge/>
            <w:tcBorders>
              <w:left w:val="single" w:sz="12" w:space="0" w:color="auto"/>
            </w:tcBorders>
          </w:tcPr>
          <w:p w14:paraId="016ACEAA" w14:textId="77777777" w:rsidR="003B3105" w:rsidRDefault="003B3105" w:rsidP="001E533B">
            <w:pPr>
              <w:rPr>
                <w:rFonts w:ascii="新細明體" w:eastAsia="新細明體" w:hAnsi="新細明體"/>
              </w:rPr>
            </w:pPr>
          </w:p>
        </w:tc>
        <w:tc>
          <w:tcPr>
            <w:tcW w:w="1276" w:type="dxa"/>
            <w:vMerge/>
          </w:tcPr>
          <w:p w14:paraId="79870CE5" w14:textId="77777777" w:rsidR="003B3105" w:rsidRDefault="003B3105" w:rsidP="001E533B">
            <w:pPr>
              <w:rPr>
                <w:rFonts w:ascii="新細明體" w:eastAsia="新細明體" w:hAnsi="新細明體"/>
              </w:rPr>
            </w:pPr>
          </w:p>
        </w:tc>
        <w:tc>
          <w:tcPr>
            <w:tcW w:w="5386" w:type="dxa"/>
            <w:tcBorders>
              <w:top w:val="nil"/>
              <w:bottom w:val="nil"/>
            </w:tcBorders>
          </w:tcPr>
          <w:p w14:paraId="4D06B5C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3.薪工循環</w:t>
            </w:r>
          </w:p>
        </w:tc>
        <w:tc>
          <w:tcPr>
            <w:tcW w:w="5387" w:type="dxa"/>
            <w:tcBorders>
              <w:top w:val="nil"/>
              <w:bottom w:val="nil"/>
            </w:tcBorders>
          </w:tcPr>
          <w:p w14:paraId="1578CA7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3.薪工循環</w:t>
            </w:r>
          </w:p>
        </w:tc>
        <w:tc>
          <w:tcPr>
            <w:tcW w:w="2023" w:type="dxa"/>
            <w:vMerge/>
            <w:tcBorders>
              <w:right w:val="single" w:sz="12" w:space="0" w:color="auto"/>
            </w:tcBorders>
          </w:tcPr>
          <w:p w14:paraId="55FD21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628DD8" w14:textId="77777777">
        <w:tc>
          <w:tcPr>
            <w:tcW w:w="1384" w:type="dxa"/>
            <w:vMerge/>
            <w:tcBorders>
              <w:left w:val="single" w:sz="12" w:space="0" w:color="auto"/>
            </w:tcBorders>
          </w:tcPr>
          <w:p w14:paraId="6F3E49E9" w14:textId="77777777" w:rsidR="003B3105" w:rsidRDefault="003B3105" w:rsidP="001E533B">
            <w:pPr>
              <w:rPr>
                <w:rFonts w:ascii="新細明體" w:eastAsia="新細明體" w:hAnsi="新細明體"/>
              </w:rPr>
            </w:pPr>
          </w:p>
        </w:tc>
        <w:tc>
          <w:tcPr>
            <w:tcW w:w="1276" w:type="dxa"/>
            <w:vMerge/>
          </w:tcPr>
          <w:p w14:paraId="43A65360" w14:textId="77777777" w:rsidR="003B3105" w:rsidRDefault="003B3105" w:rsidP="001E533B">
            <w:pPr>
              <w:rPr>
                <w:rFonts w:ascii="新細明體" w:eastAsia="新細明體" w:hAnsi="新細明體"/>
              </w:rPr>
            </w:pPr>
          </w:p>
        </w:tc>
        <w:tc>
          <w:tcPr>
            <w:tcW w:w="5386" w:type="dxa"/>
            <w:tcBorders>
              <w:top w:val="nil"/>
              <w:bottom w:val="nil"/>
            </w:tcBorders>
          </w:tcPr>
          <w:p w14:paraId="5ED95A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4.融資循環</w:t>
            </w:r>
          </w:p>
        </w:tc>
        <w:tc>
          <w:tcPr>
            <w:tcW w:w="5387" w:type="dxa"/>
            <w:tcBorders>
              <w:top w:val="nil"/>
              <w:bottom w:val="nil"/>
            </w:tcBorders>
          </w:tcPr>
          <w:p w14:paraId="537A44A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4.融資循環</w:t>
            </w:r>
          </w:p>
        </w:tc>
        <w:tc>
          <w:tcPr>
            <w:tcW w:w="2023" w:type="dxa"/>
            <w:vMerge/>
            <w:tcBorders>
              <w:right w:val="single" w:sz="12" w:space="0" w:color="auto"/>
            </w:tcBorders>
          </w:tcPr>
          <w:p w14:paraId="14A94F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8DDF7D" w14:textId="77777777">
        <w:tc>
          <w:tcPr>
            <w:tcW w:w="1384" w:type="dxa"/>
            <w:vMerge/>
            <w:tcBorders>
              <w:left w:val="single" w:sz="12" w:space="0" w:color="auto"/>
            </w:tcBorders>
          </w:tcPr>
          <w:p w14:paraId="65E863D2" w14:textId="77777777" w:rsidR="003B3105" w:rsidRDefault="003B3105" w:rsidP="001E533B">
            <w:pPr>
              <w:rPr>
                <w:rFonts w:ascii="新細明體" w:eastAsia="新細明體" w:hAnsi="新細明體"/>
              </w:rPr>
            </w:pPr>
          </w:p>
        </w:tc>
        <w:tc>
          <w:tcPr>
            <w:tcW w:w="1276" w:type="dxa"/>
            <w:vMerge/>
          </w:tcPr>
          <w:p w14:paraId="1F4A4CA7" w14:textId="77777777" w:rsidR="003B3105" w:rsidRDefault="003B3105" w:rsidP="001E533B">
            <w:pPr>
              <w:rPr>
                <w:rFonts w:ascii="新細明體" w:eastAsia="新細明體" w:hAnsi="新細明體"/>
              </w:rPr>
            </w:pPr>
          </w:p>
        </w:tc>
        <w:tc>
          <w:tcPr>
            <w:tcW w:w="5386" w:type="dxa"/>
            <w:tcBorders>
              <w:top w:val="nil"/>
              <w:bottom w:val="nil"/>
            </w:tcBorders>
          </w:tcPr>
          <w:p w14:paraId="006B629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5.不動產及設備循環</w:t>
            </w:r>
          </w:p>
        </w:tc>
        <w:tc>
          <w:tcPr>
            <w:tcW w:w="5387" w:type="dxa"/>
            <w:tcBorders>
              <w:top w:val="nil"/>
              <w:bottom w:val="nil"/>
            </w:tcBorders>
          </w:tcPr>
          <w:p w14:paraId="32B1C5A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5.不動產及設備循環</w:t>
            </w:r>
          </w:p>
        </w:tc>
        <w:tc>
          <w:tcPr>
            <w:tcW w:w="2023" w:type="dxa"/>
            <w:vMerge/>
            <w:tcBorders>
              <w:right w:val="single" w:sz="12" w:space="0" w:color="auto"/>
            </w:tcBorders>
          </w:tcPr>
          <w:p w14:paraId="68F82A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4BE9CA" w14:textId="77777777">
        <w:tc>
          <w:tcPr>
            <w:tcW w:w="1384" w:type="dxa"/>
            <w:vMerge/>
            <w:tcBorders>
              <w:left w:val="single" w:sz="12" w:space="0" w:color="auto"/>
            </w:tcBorders>
          </w:tcPr>
          <w:p w14:paraId="44C36945" w14:textId="77777777" w:rsidR="003B3105" w:rsidRDefault="003B3105" w:rsidP="001E533B">
            <w:pPr>
              <w:rPr>
                <w:rFonts w:ascii="新細明體" w:eastAsia="新細明體" w:hAnsi="新細明體"/>
              </w:rPr>
            </w:pPr>
          </w:p>
        </w:tc>
        <w:tc>
          <w:tcPr>
            <w:tcW w:w="1276" w:type="dxa"/>
            <w:vMerge/>
          </w:tcPr>
          <w:p w14:paraId="17AA5203" w14:textId="77777777" w:rsidR="003B3105" w:rsidRDefault="003B3105" w:rsidP="001E533B">
            <w:pPr>
              <w:rPr>
                <w:rFonts w:ascii="新細明體" w:eastAsia="新細明體" w:hAnsi="新細明體"/>
              </w:rPr>
            </w:pPr>
          </w:p>
        </w:tc>
        <w:tc>
          <w:tcPr>
            <w:tcW w:w="5386" w:type="dxa"/>
            <w:tcBorders>
              <w:top w:val="nil"/>
              <w:bottom w:val="nil"/>
            </w:tcBorders>
          </w:tcPr>
          <w:p w14:paraId="7C18FD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6.投資循環</w:t>
            </w:r>
          </w:p>
        </w:tc>
        <w:tc>
          <w:tcPr>
            <w:tcW w:w="5387" w:type="dxa"/>
            <w:tcBorders>
              <w:top w:val="nil"/>
              <w:bottom w:val="nil"/>
            </w:tcBorders>
          </w:tcPr>
          <w:p w14:paraId="65C8C5B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6.投資循環</w:t>
            </w:r>
          </w:p>
        </w:tc>
        <w:tc>
          <w:tcPr>
            <w:tcW w:w="2023" w:type="dxa"/>
            <w:vMerge/>
            <w:tcBorders>
              <w:right w:val="single" w:sz="12" w:space="0" w:color="auto"/>
            </w:tcBorders>
          </w:tcPr>
          <w:p w14:paraId="6255DE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6D5798" w14:textId="77777777">
        <w:tc>
          <w:tcPr>
            <w:tcW w:w="1384" w:type="dxa"/>
            <w:vMerge/>
            <w:tcBorders>
              <w:left w:val="single" w:sz="12" w:space="0" w:color="auto"/>
            </w:tcBorders>
          </w:tcPr>
          <w:p w14:paraId="6254AF8A" w14:textId="77777777" w:rsidR="003B3105" w:rsidRDefault="003B3105" w:rsidP="001E533B">
            <w:pPr>
              <w:rPr>
                <w:rFonts w:ascii="新細明體" w:eastAsia="新細明體" w:hAnsi="新細明體"/>
              </w:rPr>
            </w:pPr>
          </w:p>
        </w:tc>
        <w:tc>
          <w:tcPr>
            <w:tcW w:w="1276" w:type="dxa"/>
            <w:vMerge/>
          </w:tcPr>
          <w:p w14:paraId="65DF3412" w14:textId="77777777" w:rsidR="003B3105" w:rsidRDefault="003B3105" w:rsidP="001E533B">
            <w:pPr>
              <w:rPr>
                <w:rFonts w:ascii="新細明體" w:eastAsia="新細明體" w:hAnsi="新細明體"/>
              </w:rPr>
            </w:pPr>
          </w:p>
        </w:tc>
        <w:tc>
          <w:tcPr>
            <w:tcW w:w="5386" w:type="dxa"/>
            <w:tcBorders>
              <w:top w:val="nil"/>
              <w:bottom w:val="nil"/>
            </w:tcBorders>
          </w:tcPr>
          <w:p w14:paraId="3EDD88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7.電腦作業與資訊提供</w:t>
            </w:r>
          </w:p>
        </w:tc>
        <w:tc>
          <w:tcPr>
            <w:tcW w:w="5387" w:type="dxa"/>
            <w:tcBorders>
              <w:top w:val="nil"/>
              <w:bottom w:val="nil"/>
            </w:tcBorders>
          </w:tcPr>
          <w:p w14:paraId="53D620C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7.電腦作業與資訊提供</w:t>
            </w:r>
          </w:p>
        </w:tc>
        <w:tc>
          <w:tcPr>
            <w:tcW w:w="2023" w:type="dxa"/>
            <w:vMerge/>
            <w:tcBorders>
              <w:right w:val="single" w:sz="12" w:space="0" w:color="auto"/>
            </w:tcBorders>
          </w:tcPr>
          <w:p w14:paraId="58B33E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6A0664" w14:textId="77777777">
        <w:tc>
          <w:tcPr>
            <w:tcW w:w="1384" w:type="dxa"/>
            <w:vMerge/>
            <w:tcBorders>
              <w:left w:val="single" w:sz="12" w:space="0" w:color="auto"/>
            </w:tcBorders>
          </w:tcPr>
          <w:p w14:paraId="50C6572E" w14:textId="77777777" w:rsidR="003B3105" w:rsidRDefault="003B3105" w:rsidP="001E533B">
            <w:pPr>
              <w:rPr>
                <w:rFonts w:ascii="新細明體" w:eastAsia="新細明體" w:hAnsi="新細明體"/>
              </w:rPr>
            </w:pPr>
          </w:p>
        </w:tc>
        <w:tc>
          <w:tcPr>
            <w:tcW w:w="1276" w:type="dxa"/>
            <w:vMerge/>
          </w:tcPr>
          <w:p w14:paraId="640B6E61" w14:textId="77777777" w:rsidR="003B3105" w:rsidRDefault="003B3105" w:rsidP="001E533B">
            <w:pPr>
              <w:rPr>
                <w:rFonts w:ascii="新細明體" w:eastAsia="新細明體" w:hAnsi="新細明體"/>
              </w:rPr>
            </w:pPr>
          </w:p>
        </w:tc>
        <w:tc>
          <w:tcPr>
            <w:tcW w:w="5386" w:type="dxa"/>
            <w:tcBorders>
              <w:top w:val="nil"/>
              <w:bottom w:val="nil"/>
            </w:tcBorders>
          </w:tcPr>
          <w:p w14:paraId="259663F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8.管理控制制度</w:t>
            </w:r>
          </w:p>
        </w:tc>
        <w:tc>
          <w:tcPr>
            <w:tcW w:w="5387" w:type="dxa"/>
            <w:tcBorders>
              <w:top w:val="nil"/>
              <w:bottom w:val="nil"/>
            </w:tcBorders>
          </w:tcPr>
          <w:p w14:paraId="1584F3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8.管理控制制度</w:t>
            </w:r>
          </w:p>
        </w:tc>
        <w:tc>
          <w:tcPr>
            <w:tcW w:w="2023" w:type="dxa"/>
            <w:vMerge/>
            <w:tcBorders>
              <w:right w:val="single" w:sz="12" w:space="0" w:color="auto"/>
            </w:tcBorders>
          </w:tcPr>
          <w:p w14:paraId="28723BB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C9643F" w14:textId="77777777">
        <w:tc>
          <w:tcPr>
            <w:tcW w:w="1384" w:type="dxa"/>
            <w:vMerge/>
            <w:tcBorders>
              <w:left w:val="single" w:sz="12" w:space="0" w:color="auto"/>
            </w:tcBorders>
          </w:tcPr>
          <w:p w14:paraId="1B841088" w14:textId="77777777" w:rsidR="003B3105" w:rsidRDefault="003B3105" w:rsidP="001E533B">
            <w:pPr>
              <w:rPr>
                <w:rFonts w:ascii="新細明體" w:eastAsia="新細明體" w:hAnsi="新細明體"/>
              </w:rPr>
            </w:pPr>
          </w:p>
        </w:tc>
        <w:tc>
          <w:tcPr>
            <w:tcW w:w="1276" w:type="dxa"/>
            <w:vMerge/>
          </w:tcPr>
          <w:p w14:paraId="347B01F5" w14:textId="77777777" w:rsidR="003B3105" w:rsidRDefault="003B3105" w:rsidP="001E533B">
            <w:pPr>
              <w:rPr>
                <w:rFonts w:ascii="新細明體" w:eastAsia="新細明體" w:hAnsi="新細明體"/>
              </w:rPr>
            </w:pPr>
          </w:p>
        </w:tc>
        <w:tc>
          <w:tcPr>
            <w:tcW w:w="5386" w:type="dxa"/>
            <w:tcBorders>
              <w:top w:val="nil"/>
              <w:bottom w:val="nil"/>
            </w:tcBorders>
          </w:tcPr>
          <w:p w14:paraId="6E06D1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九、內部控制制度之設計：</w:t>
            </w:r>
          </w:p>
        </w:tc>
        <w:tc>
          <w:tcPr>
            <w:tcW w:w="5387" w:type="dxa"/>
            <w:tcBorders>
              <w:top w:val="nil"/>
              <w:bottom w:val="nil"/>
            </w:tcBorders>
          </w:tcPr>
          <w:p w14:paraId="16A399E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九、內部控制制度之設計：</w:t>
            </w:r>
          </w:p>
        </w:tc>
        <w:tc>
          <w:tcPr>
            <w:tcW w:w="2023" w:type="dxa"/>
            <w:vMerge/>
            <w:tcBorders>
              <w:right w:val="single" w:sz="12" w:space="0" w:color="auto"/>
            </w:tcBorders>
          </w:tcPr>
          <w:p w14:paraId="1D53D2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605BD8" w14:textId="77777777">
        <w:tc>
          <w:tcPr>
            <w:tcW w:w="1384" w:type="dxa"/>
            <w:vMerge/>
            <w:tcBorders>
              <w:left w:val="single" w:sz="12" w:space="0" w:color="auto"/>
            </w:tcBorders>
          </w:tcPr>
          <w:p w14:paraId="5017A3D2" w14:textId="77777777" w:rsidR="003B3105" w:rsidRDefault="003B3105" w:rsidP="001E533B">
            <w:pPr>
              <w:rPr>
                <w:rFonts w:ascii="新細明體" w:eastAsia="新細明體" w:hAnsi="新細明體"/>
              </w:rPr>
            </w:pPr>
          </w:p>
        </w:tc>
        <w:tc>
          <w:tcPr>
            <w:tcW w:w="1276" w:type="dxa"/>
            <w:vMerge/>
          </w:tcPr>
          <w:p w14:paraId="35F48E73" w14:textId="77777777" w:rsidR="003B3105" w:rsidRDefault="003B3105" w:rsidP="001E533B">
            <w:pPr>
              <w:rPr>
                <w:rFonts w:ascii="新細明體" w:eastAsia="新細明體" w:hAnsi="新細明體"/>
              </w:rPr>
            </w:pPr>
          </w:p>
        </w:tc>
        <w:tc>
          <w:tcPr>
            <w:tcW w:w="5386" w:type="dxa"/>
            <w:tcBorders>
              <w:top w:val="nil"/>
              <w:bottom w:val="nil"/>
            </w:tcBorders>
          </w:tcPr>
          <w:p w14:paraId="02099F7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內部控制制度之建立與設計，應針對各公司之特定情況而設計。公司之管理階層、部門主管、企劃幕僚、稽核人員，以及各業務單位相關人員，應共同參與內部控制制度之設計作業：</w:t>
            </w:r>
          </w:p>
        </w:tc>
        <w:tc>
          <w:tcPr>
            <w:tcW w:w="5387" w:type="dxa"/>
            <w:tcBorders>
              <w:top w:val="nil"/>
              <w:bottom w:val="nil"/>
            </w:tcBorders>
          </w:tcPr>
          <w:p w14:paraId="4637F30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內部控制制度之建立與設計，應針對各公司之特定情況而設計。公司之管理階層、部門主管、企劃幕僚、稽核人員，以及各業務單位相關人員，應共同參與內部控制制度之設計作業：</w:t>
            </w:r>
          </w:p>
        </w:tc>
        <w:tc>
          <w:tcPr>
            <w:tcW w:w="2023" w:type="dxa"/>
            <w:vMerge/>
            <w:tcBorders>
              <w:right w:val="single" w:sz="12" w:space="0" w:color="auto"/>
            </w:tcBorders>
          </w:tcPr>
          <w:p w14:paraId="6B72EF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383E22" w14:textId="77777777">
        <w:tc>
          <w:tcPr>
            <w:tcW w:w="1384" w:type="dxa"/>
            <w:vMerge/>
            <w:tcBorders>
              <w:left w:val="single" w:sz="12" w:space="0" w:color="auto"/>
            </w:tcBorders>
          </w:tcPr>
          <w:p w14:paraId="12B02B4A" w14:textId="77777777" w:rsidR="003B3105" w:rsidRDefault="003B3105" w:rsidP="001E533B">
            <w:pPr>
              <w:rPr>
                <w:rFonts w:ascii="新細明體" w:eastAsia="新細明體" w:hAnsi="新細明體"/>
              </w:rPr>
            </w:pPr>
          </w:p>
        </w:tc>
        <w:tc>
          <w:tcPr>
            <w:tcW w:w="1276" w:type="dxa"/>
            <w:vMerge/>
          </w:tcPr>
          <w:p w14:paraId="0B7963BE" w14:textId="77777777" w:rsidR="003B3105" w:rsidRDefault="003B3105" w:rsidP="001E533B">
            <w:pPr>
              <w:rPr>
                <w:rFonts w:ascii="新細明體" w:eastAsia="新細明體" w:hAnsi="新細明體"/>
              </w:rPr>
            </w:pPr>
          </w:p>
        </w:tc>
        <w:tc>
          <w:tcPr>
            <w:tcW w:w="5386" w:type="dxa"/>
            <w:tcBorders>
              <w:top w:val="nil"/>
              <w:bottom w:val="nil"/>
            </w:tcBorders>
          </w:tcPr>
          <w:p w14:paraId="4AF429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(一)設計之內容包括：</w:t>
            </w:r>
          </w:p>
        </w:tc>
        <w:tc>
          <w:tcPr>
            <w:tcW w:w="5387" w:type="dxa"/>
            <w:tcBorders>
              <w:top w:val="nil"/>
              <w:bottom w:val="nil"/>
            </w:tcBorders>
          </w:tcPr>
          <w:p w14:paraId="13F42C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(一)設計之內容包括：</w:t>
            </w:r>
          </w:p>
        </w:tc>
        <w:tc>
          <w:tcPr>
            <w:tcW w:w="2023" w:type="dxa"/>
            <w:vMerge/>
            <w:tcBorders>
              <w:right w:val="single" w:sz="12" w:space="0" w:color="auto"/>
            </w:tcBorders>
          </w:tcPr>
          <w:p w14:paraId="1954AB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4D2C01" w14:textId="77777777">
        <w:tc>
          <w:tcPr>
            <w:tcW w:w="1384" w:type="dxa"/>
            <w:vMerge/>
            <w:tcBorders>
              <w:left w:val="single" w:sz="12" w:space="0" w:color="auto"/>
            </w:tcBorders>
          </w:tcPr>
          <w:p w14:paraId="68B47531" w14:textId="77777777" w:rsidR="003B3105" w:rsidRDefault="003B3105" w:rsidP="001E533B">
            <w:pPr>
              <w:rPr>
                <w:rFonts w:ascii="新細明體" w:eastAsia="新細明體" w:hAnsi="新細明體"/>
              </w:rPr>
            </w:pPr>
          </w:p>
        </w:tc>
        <w:tc>
          <w:tcPr>
            <w:tcW w:w="1276" w:type="dxa"/>
            <w:vMerge/>
          </w:tcPr>
          <w:p w14:paraId="6E00C6A5" w14:textId="77777777" w:rsidR="003B3105" w:rsidRDefault="003B3105" w:rsidP="001E533B">
            <w:pPr>
              <w:rPr>
                <w:rFonts w:ascii="新細明體" w:eastAsia="新細明體" w:hAnsi="新細明體"/>
              </w:rPr>
            </w:pPr>
          </w:p>
        </w:tc>
        <w:tc>
          <w:tcPr>
            <w:tcW w:w="5386" w:type="dxa"/>
            <w:tcBorders>
              <w:top w:val="nil"/>
              <w:bottom w:val="nil"/>
            </w:tcBorders>
          </w:tcPr>
          <w:p w14:paraId="2ED18C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1.製訂各交易循環之作業程序。</w:t>
            </w:r>
          </w:p>
        </w:tc>
        <w:tc>
          <w:tcPr>
            <w:tcW w:w="5387" w:type="dxa"/>
            <w:tcBorders>
              <w:top w:val="nil"/>
              <w:bottom w:val="nil"/>
            </w:tcBorders>
          </w:tcPr>
          <w:p w14:paraId="3810548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1.製訂各交易循環之作業程序。</w:t>
            </w:r>
          </w:p>
        </w:tc>
        <w:tc>
          <w:tcPr>
            <w:tcW w:w="2023" w:type="dxa"/>
            <w:vMerge/>
            <w:tcBorders>
              <w:right w:val="single" w:sz="12" w:space="0" w:color="auto"/>
            </w:tcBorders>
          </w:tcPr>
          <w:p w14:paraId="65875E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C8F68A" w14:textId="77777777">
        <w:tc>
          <w:tcPr>
            <w:tcW w:w="1384" w:type="dxa"/>
            <w:vMerge/>
            <w:tcBorders>
              <w:left w:val="single" w:sz="12" w:space="0" w:color="auto"/>
            </w:tcBorders>
          </w:tcPr>
          <w:p w14:paraId="4C9DDF0E" w14:textId="77777777" w:rsidR="003B3105" w:rsidRDefault="003B3105" w:rsidP="001E533B">
            <w:pPr>
              <w:rPr>
                <w:rFonts w:ascii="新細明體" w:eastAsia="新細明體" w:hAnsi="新細明體"/>
              </w:rPr>
            </w:pPr>
          </w:p>
        </w:tc>
        <w:tc>
          <w:tcPr>
            <w:tcW w:w="1276" w:type="dxa"/>
            <w:vMerge/>
          </w:tcPr>
          <w:p w14:paraId="5F82FADE" w14:textId="77777777" w:rsidR="003B3105" w:rsidRDefault="003B3105" w:rsidP="001E533B">
            <w:pPr>
              <w:rPr>
                <w:rFonts w:ascii="新細明體" w:eastAsia="新細明體" w:hAnsi="新細明體"/>
              </w:rPr>
            </w:pPr>
          </w:p>
        </w:tc>
        <w:tc>
          <w:tcPr>
            <w:tcW w:w="5386" w:type="dxa"/>
            <w:tcBorders>
              <w:top w:val="nil"/>
              <w:bottom w:val="nil"/>
            </w:tcBorders>
          </w:tcPr>
          <w:p w14:paraId="3EDF0E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2.設計各作業程序之控制重點。</w:t>
            </w:r>
          </w:p>
        </w:tc>
        <w:tc>
          <w:tcPr>
            <w:tcW w:w="5387" w:type="dxa"/>
            <w:tcBorders>
              <w:top w:val="nil"/>
              <w:bottom w:val="nil"/>
            </w:tcBorders>
          </w:tcPr>
          <w:p w14:paraId="0E31E9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2.設計各作業程序之控制重點。</w:t>
            </w:r>
          </w:p>
        </w:tc>
        <w:tc>
          <w:tcPr>
            <w:tcW w:w="2023" w:type="dxa"/>
            <w:vMerge/>
            <w:tcBorders>
              <w:right w:val="single" w:sz="12" w:space="0" w:color="auto"/>
            </w:tcBorders>
          </w:tcPr>
          <w:p w14:paraId="2BE0DE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0B62B9" w14:textId="77777777">
        <w:tc>
          <w:tcPr>
            <w:tcW w:w="1384" w:type="dxa"/>
            <w:vMerge/>
            <w:tcBorders>
              <w:left w:val="single" w:sz="12" w:space="0" w:color="auto"/>
            </w:tcBorders>
          </w:tcPr>
          <w:p w14:paraId="74A6ED3D" w14:textId="77777777" w:rsidR="003B3105" w:rsidRDefault="003B3105" w:rsidP="001E533B">
            <w:pPr>
              <w:rPr>
                <w:rFonts w:ascii="新細明體" w:eastAsia="新細明體" w:hAnsi="新細明體"/>
              </w:rPr>
            </w:pPr>
          </w:p>
        </w:tc>
        <w:tc>
          <w:tcPr>
            <w:tcW w:w="1276" w:type="dxa"/>
            <w:vMerge/>
          </w:tcPr>
          <w:p w14:paraId="42E82696" w14:textId="77777777" w:rsidR="003B3105" w:rsidRDefault="003B3105" w:rsidP="001E533B">
            <w:pPr>
              <w:rPr>
                <w:rFonts w:ascii="新細明體" w:eastAsia="新細明體" w:hAnsi="新細明體"/>
              </w:rPr>
            </w:pPr>
          </w:p>
        </w:tc>
        <w:tc>
          <w:tcPr>
            <w:tcW w:w="5386" w:type="dxa"/>
            <w:tcBorders>
              <w:top w:val="nil"/>
              <w:bottom w:val="nil"/>
            </w:tcBorders>
          </w:tcPr>
          <w:p w14:paraId="5F1D11D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3.設計使用之表單。</w:t>
            </w:r>
          </w:p>
        </w:tc>
        <w:tc>
          <w:tcPr>
            <w:tcW w:w="5387" w:type="dxa"/>
            <w:tcBorders>
              <w:top w:val="nil"/>
              <w:bottom w:val="nil"/>
            </w:tcBorders>
          </w:tcPr>
          <w:p w14:paraId="7942850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3.設計使用之表單。</w:t>
            </w:r>
          </w:p>
        </w:tc>
        <w:tc>
          <w:tcPr>
            <w:tcW w:w="2023" w:type="dxa"/>
            <w:vMerge/>
            <w:tcBorders>
              <w:right w:val="single" w:sz="12" w:space="0" w:color="auto"/>
            </w:tcBorders>
          </w:tcPr>
          <w:p w14:paraId="07F542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E24B79" w14:textId="77777777">
        <w:tc>
          <w:tcPr>
            <w:tcW w:w="1384" w:type="dxa"/>
            <w:vMerge/>
            <w:tcBorders>
              <w:left w:val="single" w:sz="12" w:space="0" w:color="auto"/>
            </w:tcBorders>
          </w:tcPr>
          <w:p w14:paraId="3AD753C9" w14:textId="77777777" w:rsidR="003B3105" w:rsidRDefault="003B3105" w:rsidP="001E533B">
            <w:pPr>
              <w:rPr>
                <w:rFonts w:ascii="新細明體" w:eastAsia="新細明體" w:hAnsi="新細明體"/>
              </w:rPr>
            </w:pPr>
          </w:p>
        </w:tc>
        <w:tc>
          <w:tcPr>
            <w:tcW w:w="1276" w:type="dxa"/>
            <w:vMerge/>
          </w:tcPr>
          <w:p w14:paraId="71B6142B" w14:textId="77777777" w:rsidR="003B3105" w:rsidRDefault="003B3105" w:rsidP="001E533B">
            <w:pPr>
              <w:rPr>
                <w:rFonts w:ascii="新細明體" w:eastAsia="新細明體" w:hAnsi="新細明體"/>
              </w:rPr>
            </w:pPr>
          </w:p>
        </w:tc>
        <w:tc>
          <w:tcPr>
            <w:tcW w:w="5386" w:type="dxa"/>
            <w:tcBorders>
              <w:top w:val="nil"/>
              <w:bottom w:val="nil"/>
            </w:tcBorders>
          </w:tcPr>
          <w:p w14:paraId="7130A0C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(二)設計之原則包括：</w:t>
            </w:r>
          </w:p>
        </w:tc>
        <w:tc>
          <w:tcPr>
            <w:tcW w:w="5387" w:type="dxa"/>
            <w:tcBorders>
              <w:top w:val="nil"/>
              <w:bottom w:val="nil"/>
            </w:tcBorders>
          </w:tcPr>
          <w:p w14:paraId="719475D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(二)設計之原則包括：</w:t>
            </w:r>
          </w:p>
        </w:tc>
        <w:tc>
          <w:tcPr>
            <w:tcW w:w="2023" w:type="dxa"/>
            <w:vMerge/>
            <w:tcBorders>
              <w:right w:val="single" w:sz="12" w:space="0" w:color="auto"/>
            </w:tcBorders>
          </w:tcPr>
          <w:p w14:paraId="67789B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C82BCA" w14:textId="77777777">
        <w:tc>
          <w:tcPr>
            <w:tcW w:w="1384" w:type="dxa"/>
            <w:vMerge/>
            <w:tcBorders>
              <w:left w:val="single" w:sz="12" w:space="0" w:color="auto"/>
            </w:tcBorders>
          </w:tcPr>
          <w:p w14:paraId="3C762870" w14:textId="77777777" w:rsidR="003B3105" w:rsidRDefault="003B3105" w:rsidP="001E533B">
            <w:pPr>
              <w:rPr>
                <w:rFonts w:ascii="新細明體" w:eastAsia="新細明體" w:hAnsi="新細明體"/>
              </w:rPr>
            </w:pPr>
          </w:p>
        </w:tc>
        <w:tc>
          <w:tcPr>
            <w:tcW w:w="1276" w:type="dxa"/>
            <w:vMerge/>
          </w:tcPr>
          <w:p w14:paraId="1BFA3578" w14:textId="77777777" w:rsidR="003B3105" w:rsidRDefault="003B3105" w:rsidP="001E533B">
            <w:pPr>
              <w:rPr>
                <w:rFonts w:ascii="新細明體" w:eastAsia="新細明體" w:hAnsi="新細明體"/>
              </w:rPr>
            </w:pPr>
          </w:p>
        </w:tc>
        <w:tc>
          <w:tcPr>
            <w:tcW w:w="5386" w:type="dxa"/>
            <w:tcBorders>
              <w:top w:val="nil"/>
              <w:bottom w:val="nil"/>
            </w:tcBorders>
          </w:tcPr>
          <w:p w14:paraId="68E1FBD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1.依各項業務實際需要規劃作業流程，採分段作業。在每一流程或循環中，設定若干控制重點，以合理確保各項作業目標之達成。</w:t>
            </w:r>
          </w:p>
        </w:tc>
        <w:tc>
          <w:tcPr>
            <w:tcW w:w="5387" w:type="dxa"/>
            <w:tcBorders>
              <w:top w:val="nil"/>
              <w:bottom w:val="nil"/>
            </w:tcBorders>
          </w:tcPr>
          <w:p w14:paraId="4086FF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1.依各項業務實際需要規劃作業流程，採分段作業。在每一流程或循環中，設定若干控制重點，以合理確保各項作業目標之達成。</w:t>
            </w:r>
          </w:p>
        </w:tc>
        <w:tc>
          <w:tcPr>
            <w:tcW w:w="2023" w:type="dxa"/>
            <w:vMerge/>
            <w:tcBorders>
              <w:right w:val="single" w:sz="12" w:space="0" w:color="auto"/>
            </w:tcBorders>
          </w:tcPr>
          <w:p w14:paraId="161445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59F44E" w14:textId="77777777">
        <w:tc>
          <w:tcPr>
            <w:tcW w:w="1384" w:type="dxa"/>
            <w:vMerge/>
            <w:tcBorders>
              <w:left w:val="single" w:sz="12" w:space="0" w:color="auto"/>
            </w:tcBorders>
          </w:tcPr>
          <w:p w14:paraId="7444A053" w14:textId="77777777" w:rsidR="003B3105" w:rsidRDefault="003B3105" w:rsidP="001E533B">
            <w:pPr>
              <w:rPr>
                <w:rFonts w:ascii="新細明體" w:eastAsia="新細明體" w:hAnsi="新細明體"/>
              </w:rPr>
            </w:pPr>
          </w:p>
        </w:tc>
        <w:tc>
          <w:tcPr>
            <w:tcW w:w="1276" w:type="dxa"/>
            <w:vMerge/>
          </w:tcPr>
          <w:p w14:paraId="07C775FC" w14:textId="77777777" w:rsidR="003B3105" w:rsidRDefault="003B3105" w:rsidP="001E533B">
            <w:pPr>
              <w:rPr>
                <w:rFonts w:ascii="新細明體" w:eastAsia="新細明體" w:hAnsi="新細明體"/>
              </w:rPr>
            </w:pPr>
          </w:p>
        </w:tc>
        <w:tc>
          <w:tcPr>
            <w:tcW w:w="5386" w:type="dxa"/>
            <w:tcBorders>
              <w:top w:val="nil"/>
              <w:bottom w:val="nil"/>
            </w:tcBorders>
          </w:tcPr>
          <w:p w14:paraId="0A05F2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5387" w:type="dxa"/>
            <w:tcBorders>
              <w:top w:val="nil"/>
              <w:bottom w:val="nil"/>
            </w:tcBorders>
          </w:tcPr>
          <w:p w14:paraId="212E59A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2023" w:type="dxa"/>
            <w:vMerge/>
            <w:tcBorders>
              <w:right w:val="single" w:sz="12" w:space="0" w:color="auto"/>
            </w:tcBorders>
          </w:tcPr>
          <w:p w14:paraId="0A3347E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6E22D9" w14:textId="77777777">
        <w:tc>
          <w:tcPr>
            <w:tcW w:w="1384" w:type="dxa"/>
            <w:vMerge/>
            <w:tcBorders>
              <w:left w:val="single" w:sz="12" w:space="0" w:color="auto"/>
            </w:tcBorders>
          </w:tcPr>
          <w:p w14:paraId="51FE458D" w14:textId="77777777" w:rsidR="003B3105" w:rsidRDefault="003B3105" w:rsidP="001E533B">
            <w:pPr>
              <w:rPr>
                <w:rFonts w:ascii="新細明體" w:eastAsia="新細明體" w:hAnsi="新細明體"/>
              </w:rPr>
            </w:pPr>
          </w:p>
        </w:tc>
        <w:tc>
          <w:tcPr>
            <w:tcW w:w="1276" w:type="dxa"/>
            <w:vMerge/>
          </w:tcPr>
          <w:p w14:paraId="22BF1DBF" w14:textId="77777777" w:rsidR="003B3105" w:rsidRDefault="003B3105" w:rsidP="001E533B">
            <w:pPr>
              <w:rPr>
                <w:rFonts w:ascii="新細明體" w:eastAsia="新細明體" w:hAnsi="新細明體"/>
              </w:rPr>
            </w:pPr>
          </w:p>
        </w:tc>
        <w:tc>
          <w:tcPr>
            <w:tcW w:w="5386" w:type="dxa"/>
            <w:tcBorders>
              <w:top w:val="nil"/>
              <w:bottom w:val="nil"/>
            </w:tcBorders>
          </w:tcPr>
          <w:p w14:paraId="18E4F4F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3.依各項作業之控制重點訂定內部稽核作業，其作業內容應力求表格化，俾利稽核、追蹤及考評。</w:t>
            </w:r>
          </w:p>
        </w:tc>
        <w:tc>
          <w:tcPr>
            <w:tcW w:w="5387" w:type="dxa"/>
            <w:tcBorders>
              <w:top w:val="nil"/>
              <w:bottom w:val="nil"/>
            </w:tcBorders>
          </w:tcPr>
          <w:p w14:paraId="229673A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3.依各項作業之控制重點訂定內部稽核作業，其作業內容應力求表格化，俾利稽核、追蹤及考評。</w:t>
            </w:r>
          </w:p>
        </w:tc>
        <w:tc>
          <w:tcPr>
            <w:tcW w:w="2023" w:type="dxa"/>
            <w:vMerge/>
            <w:tcBorders>
              <w:right w:val="single" w:sz="12" w:space="0" w:color="auto"/>
            </w:tcBorders>
          </w:tcPr>
          <w:p w14:paraId="00DEE7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DB97D7" w14:textId="77777777">
        <w:tc>
          <w:tcPr>
            <w:tcW w:w="1384" w:type="dxa"/>
            <w:vMerge/>
            <w:tcBorders>
              <w:left w:val="single" w:sz="12" w:space="0" w:color="auto"/>
            </w:tcBorders>
          </w:tcPr>
          <w:p w14:paraId="563B8DBD" w14:textId="77777777" w:rsidR="003B3105" w:rsidRDefault="003B3105" w:rsidP="001E533B">
            <w:pPr>
              <w:rPr>
                <w:rFonts w:ascii="新細明體" w:eastAsia="新細明體" w:hAnsi="新細明體"/>
              </w:rPr>
            </w:pPr>
          </w:p>
        </w:tc>
        <w:tc>
          <w:tcPr>
            <w:tcW w:w="1276" w:type="dxa"/>
            <w:vMerge/>
          </w:tcPr>
          <w:p w14:paraId="45B965C2" w14:textId="77777777" w:rsidR="003B3105" w:rsidRDefault="003B3105" w:rsidP="001E533B">
            <w:pPr>
              <w:rPr>
                <w:rFonts w:ascii="新細明體" w:eastAsia="新細明體" w:hAnsi="新細明體"/>
              </w:rPr>
            </w:pPr>
          </w:p>
        </w:tc>
        <w:tc>
          <w:tcPr>
            <w:tcW w:w="5386" w:type="dxa"/>
            <w:tcBorders>
              <w:top w:val="nil"/>
              <w:bottom w:val="nil"/>
            </w:tcBorders>
          </w:tcPr>
          <w:p w14:paraId="7481A9C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十、內部稽核目的及組織編制：</w:t>
            </w:r>
          </w:p>
        </w:tc>
        <w:tc>
          <w:tcPr>
            <w:tcW w:w="5387" w:type="dxa"/>
            <w:tcBorders>
              <w:top w:val="nil"/>
              <w:bottom w:val="nil"/>
            </w:tcBorders>
          </w:tcPr>
          <w:p w14:paraId="2D5A28A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十、內部稽核目的及組織編制：</w:t>
            </w:r>
          </w:p>
        </w:tc>
        <w:tc>
          <w:tcPr>
            <w:tcW w:w="2023" w:type="dxa"/>
            <w:vMerge/>
            <w:tcBorders>
              <w:right w:val="single" w:sz="12" w:space="0" w:color="auto"/>
            </w:tcBorders>
          </w:tcPr>
          <w:p w14:paraId="76D588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FF3154" w14:textId="77777777">
        <w:tc>
          <w:tcPr>
            <w:tcW w:w="1384" w:type="dxa"/>
            <w:vMerge/>
            <w:tcBorders>
              <w:left w:val="single" w:sz="12" w:space="0" w:color="auto"/>
            </w:tcBorders>
          </w:tcPr>
          <w:p w14:paraId="1B5CFC3C" w14:textId="77777777" w:rsidR="003B3105" w:rsidRDefault="003B3105" w:rsidP="001E533B">
            <w:pPr>
              <w:rPr>
                <w:rFonts w:ascii="新細明體" w:eastAsia="新細明體" w:hAnsi="新細明體"/>
              </w:rPr>
            </w:pPr>
          </w:p>
        </w:tc>
        <w:tc>
          <w:tcPr>
            <w:tcW w:w="1276" w:type="dxa"/>
            <w:vMerge/>
          </w:tcPr>
          <w:p w14:paraId="59453747" w14:textId="77777777" w:rsidR="003B3105" w:rsidRDefault="003B3105" w:rsidP="001E533B">
            <w:pPr>
              <w:rPr>
                <w:rFonts w:ascii="新細明體" w:eastAsia="新細明體" w:hAnsi="新細明體"/>
              </w:rPr>
            </w:pPr>
          </w:p>
        </w:tc>
        <w:tc>
          <w:tcPr>
            <w:tcW w:w="5386" w:type="dxa"/>
            <w:tcBorders>
              <w:top w:val="nil"/>
              <w:bottom w:val="nil"/>
            </w:tcBorders>
          </w:tcPr>
          <w:p w14:paraId="4F66827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內部稽核之目的，在於協助董事會及經理人</w:t>
            </w:r>
            <w:r>
              <w:rPr>
                <w:rFonts w:ascii="新細明體" w:eastAsia="新細明體" w:hAnsi="新細明體" w:cs="新細明體" w:hint="eastAsia"/>
              </w:rPr>
              <w:lastRenderedPageBreak/>
              <w:t>檢查及覆核內部控制制度之缺失及衡量營運之效果及效率，並適時提供改進建議，以確保內部控制制度得以持續有效實施及作為檢討修正內部控制制度之依據。</w:t>
            </w:r>
          </w:p>
        </w:tc>
        <w:tc>
          <w:tcPr>
            <w:tcW w:w="5387" w:type="dxa"/>
            <w:tcBorders>
              <w:top w:val="nil"/>
              <w:bottom w:val="nil"/>
            </w:tcBorders>
          </w:tcPr>
          <w:p w14:paraId="2AA73F9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內部稽核之目的，在於協助董事會及經理人</w:t>
            </w:r>
            <w:r>
              <w:rPr>
                <w:rFonts w:ascii="新細明體" w:eastAsia="新細明體" w:hAnsi="新細明體" w:cs="新細明體" w:hint="eastAsia"/>
              </w:rPr>
              <w:lastRenderedPageBreak/>
              <w:t>檢查及覆核內部控制制度之缺失及衡量營運之效果及效率，並適時提供改進建議，以確保內部控制制度得以持續有效實施及作為檢討修正內部控制制度之依據。</w:t>
            </w:r>
          </w:p>
        </w:tc>
        <w:tc>
          <w:tcPr>
            <w:tcW w:w="2023" w:type="dxa"/>
            <w:vMerge/>
            <w:tcBorders>
              <w:right w:val="single" w:sz="12" w:space="0" w:color="auto"/>
            </w:tcBorders>
          </w:tcPr>
          <w:p w14:paraId="6D3F0D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1D50F7" w14:textId="77777777">
        <w:tc>
          <w:tcPr>
            <w:tcW w:w="1384" w:type="dxa"/>
            <w:vMerge/>
            <w:tcBorders>
              <w:left w:val="single" w:sz="12" w:space="0" w:color="auto"/>
            </w:tcBorders>
          </w:tcPr>
          <w:p w14:paraId="27142E5F" w14:textId="77777777" w:rsidR="003B3105" w:rsidRDefault="003B3105" w:rsidP="001E533B">
            <w:pPr>
              <w:rPr>
                <w:rFonts w:ascii="新細明體" w:eastAsia="新細明體" w:hAnsi="新細明體"/>
              </w:rPr>
            </w:pPr>
          </w:p>
        </w:tc>
        <w:tc>
          <w:tcPr>
            <w:tcW w:w="1276" w:type="dxa"/>
            <w:vMerge/>
          </w:tcPr>
          <w:p w14:paraId="4C43B798" w14:textId="77777777" w:rsidR="003B3105" w:rsidRDefault="003B3105" w:rsidP="001E533B">
            <w:pPr>
              <w:rPr>
                <w:rFonts w:ascii="新細明體" w:eastAsia="新細明體" w:hAnsi="新細明體"/>
              </w:rPr>
            </w:pPr>
          </w:p>
        </w:tc>
        <w:tc>
          <w:tcPr>
            <w:tcW w:w="5386" w:type="dxa"/>
            <w:tcBorders>
              <w:top w:val="nil"/>
              <w:bottom w:val="nil"/>
            </w:tcBorders>
          </w:tcPr>
          <w:p w14:paraId="5CE72E30"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公司應設置隸屬於董事會之內部稽核單位，並依規模、業務狀況及管理需要，</w:t>
            </w:r>
            <w:r>
              <w:rPr>
                <w:rFonts w:ascii="新細明體" w:eastAsia="新細明體" w:hAnsi="新細明體" w:cs="新細明體" w:hint="eastAsia"/>
                <w:b/>
                <w:color w:val="FF0000"/>
                <w:u w:val="single"/>
              </w:rPr>
              <w:t>暨主管機關114年9月2日金管證券字第1140346348號令，</w:t>
            </w:r>
            <w:r>
              <w:rPr>
                <w:rFonts w:ascii="新細明體" w:eastAsia="新細明體" w:hAnsi="新細明體" w:cs="新細明體" w:hint="eastAsia"/>
              </w:rPr>
              <w:t>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5387" w:type="dxa"/>
            <w:tcBorders>
              <w:top w:val="nil"/>
              <w:bottom w:val="nil"/>
            </w:tcBorders>
          </w:tcPr>
          <w:p w14:paraId="2BE3DDD3"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設置隸屬於董事會之內部稽核單位，並依規模、業務狀況及管理需要，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2023" w:type="dxa"/>
            <w:vMerge/>
            <w:tcBorders>
              <w:right w:val="single" w:sz="12" w:space="0" w:color="auto"/>
            </w:tcBorders>
          </w:tcPr>
          <w:p w14:paraId="5FC1C1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4C3B0D" w14:textId="77777777">
        <w:tc>
          <w:tcPr>
            <w:tcW w:w="1384" w:type="dxa"/>
            <w:vMerge/>
            <w:tcBorders>
              <w:left w:val="single" w:sz="12" w:space="0" w:color="auto"/>
            </w:tcBorders>
          </w:tcPr>
          <w:p w14:paraId="2AB7D73E" w14:textId="77777777" w:rsidR="003B3105" w:rsidRDefault="003B3105" w:rsidP="001E533B">
            <w:pPr>
              <w:rPr>
                <w:rFonts w:ascii="新細明體" w:eastAsia="新細明體" w:hAnsi="新細明體"/>
              </w:rPr>
            </w:pPr>
          </w:p>
        </w:tc>
        <w:tc>
          <w:tcPr>
            <w:tcW w:w="1276" w:type="dxa"/>
            <w:vMerge/>
          </w:tcPr>
          <w:p w14:paraId="69C9323F" w14:textId="77777777" w:rsidR="003B3105" w:rsidRDefault="003B3105" w:rsidP="001E533B">
            <w:pPr>
              <w:rPr>
                <w:rFonts w:ascii="新細明體" w:eastAsia="新細明體" w:hAnsi="新細明體"/>
              </w:rPr>
            </w:pPr>
          </w:p>
        </w:tc>
        <w:tc>
          <w:tcPr>
            <w:tcW w:w="5386" w:type="dxa"/>
            <w:tcBorders>
              <w:top w:val="nil"/>
              <w:bottom w:val="nil"/>
            </w:tcBorders>
          </w:tcPr>
          <w:p w14:paraId="66999B1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內部稽核單位之人事任用、免職、升遷、獎懲、輪調及考核等，應由稽核主管簽報，報經董事長核定後辦理。但涉及其他管理、營業單位人事者，應事先洽商人事單位轉報總</w:t>
            </w:r>
            <w:r>
              <w:rPr>
                <w:rFonts w:ascii="新細明體" w:eastAsia="新細明體" w:hAnsi="新細明體" w:cs="新細明體" w:hint="eastAsia"/>
              </w:rPr>
              <w:lastRenderedPageBreak/>
              <w:t>經理同意後，再行簽報董事長核定。</w:t>
            </w:r>
          </w:p>
        </w:tc>
        <w:tc>
          <w:tcPr>
            <w:tcW w:w="5387" w:type="dxa"/>
            <w:tcBorders>
              <w:top w:val="nil"/>
              <w:bottom w:val="nil"/>
            </w:tcBorders>
          </w:tcPr>
          <w:p w14:paraId="2DDF930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內部稽核單位之人事任用、免職、升遷、獎懲、輪調及考核等，應由稽核主管簽報，報經董事長核定後辦理。但涉及其他管理、營業單位人事者，應事先洽商人事單位轉報總</w:t>
            </w:r>
            <w:r>
              <w:rPr>
                <w:rFonts w:ascii="新細明體" w:eastAsia="新細明體" w:hAnsi="新細明體" w:cs="新細明體" w:hint="eastAsia"/>
              </w:rPr>
              <w:lastRenderedPageBreak/>
              <w:t>經理同意後，再行簽報董事長核定。</w:t>
            </w:r>
          </w:p>
        </w:tc>
        <w:tc>
          <w:tcPr>
            <w:tcW w:w="2023" w:type="dxa"/>
            <w:vMerge/>
            <w:tcBorders>
              <w:right w:val="single" w:sz="12" w:space="0" w:color="auto"/>
            </w:tcBorders>
          </w:tcPr>
          <w:p w14:paraId="75184C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71B6E9" w14:textId="77777777">
        <w:tc>
          <w:tcPr>
            <w:tcW w:w="1384" w:type="dxa"/>
            <w:vMerge/>
            <w:tcBorders>
              <w:left w:val="single" w:sz="12" w:space="0" w:color="auto"/>
            </w:tcBorders>
          </w:tcPr>
          <w:p w14:paraId="47822D7A" w14:textId="77777777" w:rsidR="003B3105" w:rsidRDefault="003B3105" w:rsidP="001E533B">
            <w:pPr>
              <w:rPr>
                <w:rFonts w:ascii="新細明體" w:eastAsia="新細明體" w:hAnsi="新細明體"/>
              </w:rPr>
            </w:pPr>
          </w:p>
        </w:tc>
        <w:tc>
          <w:tcPr>
            <w:tcW w:w="1276" w:type="dxa"/>
            <w:vMerge/>
          </w:tcPr>
          <w:p w14:paraId="68176D4C" w14:textId="77777777" w:rsidR="003B3105" w:rsidRDefault="003B3105" w:rsidP="001E533B">
            <w:pPr>
              <w:rPr>
                <w:rFonts w:ascii="新細明體" w:eastAsia="新細明體" w:hAnsi="新細明體"/>
              </w:rPr>
            </w:pPr>
          </w:p>
        </w:tc>
        <w:tc>
          <w:tcPr>
            <w:tcW w:w="5386" w:type="dxa"/>
            <w:tcBorders>
              <w:top w:val="nil"/>
              <w:bottom w:val="nil"/>
            </w:tcBorders>
          </w:tcPr>
          <w:p w14:paraId="65C8DD7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公司派駐分支機構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之專任稽核人員不得由分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考核。</w:t>
            </w:r>
          </w:p>
        </w:tc>
        <w:tc>
          <w:tcPr>
            <w:tcW w:w="5387" w:type="dxa"/>
            <w:tcBorders>
              <w:top w:val="nil"/>
              <w:bottom w:val="nil"/>
            </w:tcBorders>
          </w:tcPr>
          <w:p w14:paraId="65E5FF4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公司派駐分支機構之專任稽核人員不得由分</w:t>
            </w:r>
            <w:r>
              <w:rPr>
                <w:rFonts w:ascii="新細明體" w:eastAsia="新細明體" w:hAnsi="新細明體" w:cs="新細明體" w:hint="eastAsia"/>
                <w:b/>
                <w:color w:val="FF0000"/>
              </w:rPr>
              <w:t>公司</w:t>
            </w:r>
            <w:r>
              <w:rPr>
                <w:rFonts w:ascii="新細明體" w:eastAsia="新細明體" w:hAnsi="新細明體" w:cs="新細明體" w:hint="eastAsia"/>
              </w:rPr>
              <w:t>考核。</w:t>
            </w:r>
          </w:p>
        </w:tc>
        <w:tc>
          <w:tcPr>
            <w:tcW w:w="2023" w:type="dxa"/>
            <w:vMerge/>
            <w:tcBorders>
              <w:right w:val="single" w:sz="12" w:space="0" w:color="auto"/>
            </w:tcBorders>
          </w:tcPr>
          <w:p w14:paraId="437FB5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696784" w14:textId="77777777">
        <w:tc>
          <w:tcPr>
            <w:tcW w:w="1384" w:type="dxa"/>
            <w:vMerge/>
            <w:tcBorders>
              <w:left w:val="single" w:sz="12" w:space="0" w:color="auto"/>
            </w:tcBorders>
          </w:tcPr>
          <w:p w14:paraId="4682BC45" w14:textId="77777777" w:rsidR="003B3105" w:rsidRDefault="003B3105" w:rsidP="001E533B">
            <w:pPr>
              <w:rPr>
                <w:rFonts w:ascii="新細明體" w:eastAsia="新細明體" w:hAnsi="新細明體"/>
              </w:rPr>
            </w:pPr>
          </w:p>
        </w:tc>
        <w:tc>
          <w:tcPr>
            <w:tcW w:w="1276" w:type="dxa"/>
            <w:vMerge/>
          </w:tcPr>
          <w:p w14:paraId="207D82AD" w14:textId="77777777" w:rsidR="003B3105" w:rsidRDefault="003B3105" w:rsidP="001E533B">
            <w:pPr>
              <w:rPr>
                <w:rFonts w:ascii="新細明體" w:eastAsia="新細明體" w:hAnsi="新細明體"/>
              </w:rPr>
            </w:pPr>
          </w:p>
        </w:tc>
        <w:tc>
          <w:tcPr>
            <w:tcW w:w="5386" w:type="dxa"/>
            <w:tcBorders>
              <w:top w:val="nil"/>
              <w:bottom w:val="nil"/>
            </w:tcBorders>
          </w:tcPr>
          <w:p w14:paraId="0A0AF80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十一、內部稽核作業適用範圍：</w:t>
            </w:r>
          </w:p>
        </w:tc>
        <w:tc>
          <w:tcPr>
            <w:tcW w:w="5387" w:type="dxa"/>
            <w:tcBorders>
              <w:top w:val="nil"/>
              <w:bottom w:val="nil"/>
            </w:tcBorders>
          </w:tcPr>
          <w:p w14:paraId="61D8C09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十一、內部稽核作業適用範圍：</w:t>
            </w:r>
          </w:p>
        </w:tc>
        <w:tc>
          <w:tcPr>
            <w:tcW w:w="2023" w:type="dxa"/>
            <w:vMerge/>
            <w:tcBorders>
              <w:right w:val="single" w:sz="12" w:space="0" w:color="auto"/>
            </w:tcBorders>
          </w:tcPr>
          <w:p w14:paraId="53620B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813AB5" w14:textId="77777777">
        <w:tc>
          <w:tcPr>
            <w:tcW w:w="1384" w:type="dxa"/>
            <w:vMerge/>
            <w:tcBorders>
              <w:left w:val="single" w:sz="12" w:space="0" w:color="auto"/>
            </w:tcBorders>
          </w:tcPr>
          <w:p w14:paraId="2DB51795" w14:textId="77777777" w:rsidR="003B3105" w:rsidRDefault="003B3105" w:rsidP="001E533B">
            <w:pPr>
              <w:rPr>
                <w:rFonts w:ascii="新細明體" w:eastAsia="新細明體" w:hAnsi="新細明體"/>
              </w:rPr>
            </w:pPr>
          </w:p>
        </w:tc>
        <w:tc>
          <w:tcPr>
            <w:tcW w:w="1276" w:type="dxa"/>
            <w:vMerge/>
          </w:tcPr>
          <w:p w14:paraId="175686DF" w14:textId="77777777" w:rsidR="003B3105" w:rsidRDefault="003B3105" w:rsidP="001E533B">
            <w:pPr>
              <w:rPr>
                <w:rFonts w:ascii="新細明體" w:eastAsia="新細明體" w:hAnsi="新細明體"/>
              </w:rPr>
            </w:pPr>
          </w:p>
        </w:tc>
        <w:tc>
          <w:tcPr>
            <w:tcW w:w="5386" w:type="dxa"/>
            <w:tcBorders>
              <w:top w:val="nil"/>
              <w:bottom w:val="nil"/>
            </w:tcBorders>
          </w:tcPr>
          <w:p w14:paraId="6D80E7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(一)公司稽核人員辦理稽核事宜，依公司內部控制制度規定辦理。</w:t>
            </w:r>
          </w:p>
        </w:tc>
        <w:tc>
          <w:tcPr>
            <w:tcW w:w="5387" w:type="dxa"/>
            <w:tcBorders>
              <w:top w:val="nil"/>
              <w:bottom w:val="nil"/>
            </w:tcBorders>
          </w:tcPr>
          <w:p w14:paraId="05399A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(一)公司稽核人員辦理稽核事宜，依公司內部控制制度規定辦理。</w:t>
            </w:r>
          </w:p>
        </w:tc>
        <w:tc>
          <w:tcPr>
            <w:tcW w:w="2023" w:type="dxa"/>
            <w:vMerge/>
            <w:tcBorders>
              <w:right w:val="single" w:sz="12" w:space="0" w:color="auto"/>
            </w:tcBorders>
          </w:tcPr>
          <w:p w14:paraId="0DEEE2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D6D14F" w14:textId="77777777">
        <w:tc>
          <w:tcPr>
            <w:tcW w:w="1384" w:type="dxa"/>
            <w:vMerge/>
            <w:tcBorders>
              <w:left w:val="single" w:sz="12" w:space="0" w:color="auto"/>
            </w:tcBorders>
          </w:tcPr>
          <w:p w14:paraId="18B5FB1D" w14:textId="77777777" w:rsidR="003B3105" w:rsidRDefault="003B3105" w:rsidP="001E533B">
            <w:pPr>
              <w:rPr>
                <w:rFonts w:ascii="新細明體" w:eastAsia="新細明體" w:hAnsi="新細明體"/>
              </w:rPr>
            </w:pPr>
          </w:p>
        </w:tc>
        <w:tc>
          <w:tcPr>
            <w:tcW w:w="1276" w:type="dxa"/>
            <w:vMerge/>
          </w:tcPr>
          <w:p w14:paraId="186F3458" w14:textId="77777777" w:rsidR="003B3105" w:rsidRDefault="003B3105" w:rsidP="001E533B">
            <w:pPr>
              <w:rPr>
                <w:rFonts w:ascii="新細明體" w:eastAsia="新細明體" w:hAnsi="新細明體"/>
              </w:rPr>
            </w:pPr>
          </w:p>
        </w:tc>
        <w:tc>
          <w:tcPr>
            <w:tcW w:w="5386" w:type="dxa"/>
            <w:tcBorders>
              <w:top w:val="nil"/>
              <w:bottom w:val="nil"/>
            </w:tcBorders>
          </w:tcPr>
          <w:p w14:paraId="7D37DF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(二)內部稽核工作執行範圍包括公司各單位及所屬分支機構</w:t>
            </w:r>
            <w:r>
              <w:rPr>
                <w:rFonts w:ascii="新細明體" w:eastAsia="新細明體" w:hAnsi="新細明體" w:cs="新細明體" w:hint="eastAsia"/>
                <w:b/>
                <w:color w:val="FF0000"/>
                <w:u w:val="single"/>
              </w:rPr>
              <w:t>與簡易分支機構</w:t>
            </w:r>
            <w:r>
              <w:rPr>
                <w:rFonts w:ascii="新細明體" w:eastAsia="新細明體" w:hAnsi="新細明體" w:cs="新細明體" w:hint="eastAsia"/>
              </w:rPr>
              <w:t>。</w:t>
            </w:r>
          </w:p>
        </w:tc>
        <w:tc>
          <w:tcPr>
            <w:tcW w:w="5387" w:type="dxa"/>
            <w:tcBorders>
              <w:top w:val="nil"/>
              <w:bottom w:val="nil"/>
            </w:tcBorders>
          </w:tcPr>
          <w:p w14:paraId="637D48F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(二)內部稽核工作執行範圍包括公司各單位及所屬分支機構。</w:t>
            </w:r>
          </w:p>
        </w:tc>
        <w:tc>
          <w:tcPr>
            <w:tcW w:w="2023" w:type="dxa"/>
            <w:vMerge/>
            <w:tcBorders>
              <w:right w:val="single" w:sz="12" w:space="0" w:color="auto"/>
            </w:tcBorders>
          </w:tcPr>
          <w:p w14:paraId="5864D8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346686" w14:textId="77777777">
        <w:tc>
          <w:tcPr>
            <w:tcW w:w="1384" w:type="dxa"/>
            <w:vMerge/>
            <w:tcBorders>
              <w:left w:val="single" w:sz="12" w:space="0" w:color="auto"/>
            </w:tcBorders>
          </w:tcPr>
          <w:p w14:paraId="5F28881B" w14:textId="77777777" w:rsidR="003B3105" w:rsidRDefault="003B3105" w:rsidP="001E533B">
            <w:pPr>
              <w:rPr>
                <w:rFonts w:ascii="新細明體" w:eastAsia="新細明體" w:hAnsi="新細明體"/>
              </w:rPr>
            </w:pPr>
          </w:p>
        </w:tc>
        <w:tc>
          <w:tcPr>
            <w:tcW w:w="1276" w:type="dxa"/>
            <w:vMerge/>
          </w:tcPr>
          <w:p w14:paraId="30FA6DCB" w14:textId="77777777" w:rsidR="003B3105" w:rsidRDefault="003B3105" w:rsidP="001E533B">
            <w:pPr>
              <w:rPr>
                <w:rFonts w:ascii="新細明體" w:eastAsia="新細明體" w:hAnsi="新細明體"/>
              </w:rPr>
            </w:pPr>
          </w:p>
        </w:tc>
        <w:tc>
          <w:tcPr>
            <w:tcW w:w="5386" w:type="dxa"/>
            <w:tcBorders>
              <w:top w:val="nil"/>
              <w:bottom w:val="nil"/>
            </w:tcBorders>
          </w:tcPr>
          <w:p w14:paraId="1252D3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(三)公司稽核人員辦理內部稽核工作，分定期及不定期二類，定期性稽核，由稽核人員依公司年度稽核計畫執行；不定期性稽核，由稽核人員依指示或業務需要辦理。</w:t>
            </w:r>
          </w:p>
        </w:tc>
        <w:tc>
          <w:tcPr>
            <w:tcW w:w="5387" w:type="dxa"/>
            <w:tcBorders>
              <w:top w:val="nil"/>
              <w:bottom w:val="nil"/>
            </w:tcBorders>
          </w:tcPr>
          <w:p w14:paraId="0E8885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(三)公司稽核人員辦理內部稽核工作，分定期及不定期二類，定期性稽核，由稽核人員依公司年度稽核計畫執行；不定期性稽核，由稽核人員依指示或業務需要辦理。</w:t>
            </w:r>
          </w:p>
        </w:tc>
        <w:tc>
          <w:tcPr>
            <w:tcW w:w="2023" w:type="dxa"/>
            <w:vMerge/>
            <w:tcBorders>
              <w:right w:val="single" w:sz="12" w:space="0" w:color="auto"/>
            </w:tcBorders>
          </w:tcPr>
          <w:p w14:paraId="266ED6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9DDD90" w14:textId="77777777">
        <w:tc>
          <w:tcPr>
            <w:tcW w:w="1384" w:type="dxa"/>
            <w:vMerge/>
            <w:tcBorders>
              <w:left w:val="single" w:sz="12" w:space="0" w:color="auto"/>
            </w:tcBorders>
          </w:tcPr>
          <w:p w14:paraId="464DDE8C" w14:textId="77777777" w:rsidR="003B3105" w:rsidRDefault="003B3105" w:rsidP="001E533B">
            <w:pPr>
              <w:rPr>
                <w:rFonts w:ascii="新細明體" w:eastAsia="新細明體" w:hAnsi="新細明體"/>
              </w:rPr>
            </w:pPr>
          </w:p>
        </w:tc>
        <w:tc>
          <w:tcPr>
            <w:tcW w:w="1276" w:type="dxa"/>
            <w:vMerge/>
          </w:tcPr>
          <w:p w14:paraId="345F7FB8" w14:textId="77777777" w:rsidR="003B3105" w:rsidRDefault="003B3105" w:rsidP="001E533B">
            <w:pPr>
              <w:rPr>
                <w:rFonts w:ascii="新細明體" w:eastAsia="新細明體" w:hAnsi="新細明體"/>
              </w:rPr>
            </w:pPr>
          </w:p>
        </w:tc>
        <w:tc>
          <w:tcPr>
            <w:tcW w:w="5386" w:type="dxa"/>
            <w:tcBorders>
              <w:top w:val="nil"/>
              <w:bottom w:val="nil"/>
            </w:tcBorders>
          </w:tcPr>
          <w:p w14:paraId="4EB38E0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內部稽核單位應依風險評估結果擬訂年度稽核計畫，據以評估公司之內部控制制度，並至少應將下列事項列為每年年度稽核計畫之稽核項目：</w:t>
            </w:r>
          </w:p>
        </w:tc>
        <w:tc>
          <w:tcPr>
            <w:tcW w:w="5387" w:type="dxa"/>
            <w:tcBorders>
              <w:top w:val="nil"/>
              <w:bottom w:val="nil"/>
            </w:tcBorders>
          </w:tcPr>
          <w:p w14:paraId="595CC11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內部稽核單位應依風險評估結果擬訂年度稽核計畫，據以評估公司之內部控制制度，並至少應將下列事項列為每年年度稽核計畫之稽核項目：</w:t>
            </w:r>
          </w:p>
        </w:tc>
        <w:tc>
          <w:tcPr>
            <w:tcW w:w="2023" w:type="dxa"/>
            <w:vMerge/>
            <w:tcBorders>
              <w:right w:val="single" w:sz="12" w:space="0" w:color="auto"/>
            </w:tcBorders>
          </w:tcPr>
          <w:p w14:paraId="566876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98C1B1" w14:textId="77777777">
        <w:tc>
          <w:tcPr>
            <w:tcW w:w="1384" w:type="dxa"/>
            <w:vMerge/>
            <w:tcBorders>
              <w:left w:val="single" w:sz="12" w:space="0" w:color="auto"/>
            </w:tcBorders>
          </w:tcPr>
          <w:p w14:paraId="43498373" w14:textId="77777777" w:rsidR="003B3105" w:rsidRDefault="003B3105" w:rsidP="001E533B">
            <w:pPr>
              <w:rPr>
                <w:rFonts w:ascii="新細明體" w:eastAsia="新細明體" w:hAnsi="新細明體"/>
              </w:rPr>
            </w:pPr>
          </w:p>
        </w:tc>
        <w:tc>
          <w:tcPr>
            <w:tcW w:w="1276" w:type="dxa"/>
            <w:vMerge/>
          </w:tcPr>
          <w:p w14:paraId="7644BE13" w14:textId="77777777" w:rsidR="003B3105" w:rsidRDefault="003B3105" w:rsidP="001E533B">
            <w:pPr>
              <w:rPr>
                <w:rFonts w:ascii="新細明體" w:eastAsia="新細明體" w:hAnsi="新細明體"/>
              </w:rPr>
            </w:pPr>
          </w:p>
        </w:tc>
        <w:tc>
          <w:tcPr>
            <w:tcW w:w="5386" w:type="dxa"/>
            <w:tcBorders>
              <w:top w:val="nil"/>
              <w:bottom w:val="nil"/>
            </w:tcBorders>
          </w:tcPr>
          <w:p w14:paraId="463CC86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1.法令規章遵循事項。</w:t>
            </w:r>
          </w:p>
        </w:tc>
        <w:tc>
          <w:tcPr>
            <w:tcW w:w="5387" w:type="dxa"/>
            <w:tcBorders>
              <w:top w:val="nil"/>
              <w:bottom w:val="nil"/>
            </w:tcBorders>
          </w:tcPr>
          <w:p w14:paraId="24E0E7A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1.法令規章遵循事項。</w:t>
            </w:r>
          </w:p>
        </w:tc>
        <w:tc>
          <w:tcPr>
            <w:tcW w:w="2023" w:type="dxa"/>
            <w:vMerge/>
            <w:tcBorders>
              <w:right w:val="single" w:sz="12" w:space="0" w:color="auto"/>
            </w:tcBorders>
          </w:tcPr>
          <w:p w14:paraId="632453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9148D0" w14:textId="77777777">
        <w:tc>
          <w:tcPr>
            <w:tcW w:w="1384" w:type="dxa"/>
            <w:vMerge/>
            <w:tcBorders>
              <w:left w:val="single" w:sz="12" w:space="0" w:color="auto"/>
            </w:tcBorders>
          </w:tcPr>
          <w:p w14:paraId="164B67F0" w14:textId="77777777" w:rsidR="003B3105" w:rsidRDefault="003B3105" w:rsidP="001E533B">
            <w:pPr>
              <w:rPr>
                <w:rFonts w:ascii="新細明體" w:eastAsia="新細明體" w:hAnsi="新細明體"/>
              </w:rPr>
            </w:pPr>
          </w:p>
        </w:tc>
        <w:tc>
          <w:tcPr>
            <w:tcW w:w="1276" w:type="dxa"/>
            <w:vMerge/>
          </w:tcPr>
          <w:p w14:paraId="65DF2459" w14:textId="77777777" w:rsidR="003B3105" w:rsidRDefault="003B3105" w:rsidP="001E533B">
            <w:pPr>
              <w:rPr>
                <w:rFonts w:ascii="新細明體" w:eastAsia="新細明體" w:hAnsi="新細明體"/>
              </w:rPr>
            </w:pPr>
          </w:p>
        </w:tc>
        <w:tc>
          <w:tcPr>
            <w:tcW w:w="5386" w:type="dxa"/>
            <w:tcBorders>
              <w:top w:val="nil"/>
              <w:bottom w:val="nil"/>
            </w:tcBorders>
          </w:tcPr>
          <w:p w14:paraId="3C82531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2.取得或處分資產、從事衍生性商品交易、為他人背書保證之管理及關係人交易之管理等重大財務業務行為之控制作業。</w:t>
            </w:r>
          </w:p>
        </w:tc>
        <w:tc>
          <w:tcPr>
            <w:tcW w:w="5387" w:type="dxa"/>
            <w:tcBorders>
              <w:top w:val="nil"/>
              <w:bottom w:val="nil"/>
            </w:tcBorders>
          </w:tcPr>
          <w:p w14:paraId="6EBA23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2.取得或處分資產、從事衍生性商品交易、為他人背書保證之管理及關係人交易之管理等重大財務業務行為之控制作業。</w:t>
            </w:r>
          </w:p>
        </w:tc>
        <w:tc>
          <w:tcPr>
            <w:tcW w:w="2023" w:type="dxa"/>
            <w:vMerge/>
            <w:tcBorders>
              <w:right w:val="single" w:sz="12" w:space="0" w:color="auto"/>
            </w:tcBorders>
          </w:tcPr>
          <w:p w14:paraId="7600DF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5A0AAD" w14:textId="77777777">
        <w:tc>
          <w:tcPr>
            <w:tcW w:w="1384" w:type="dxa"/>
            <w:vMerge/>
            <w:tcBorders>
              <w:left w:val="single" w:sz="12" w:space="0" w:color="auto"/>
            </w:tcBorders>
          </w:tcPr>
          <w:p w14:paraId="52A31520" w14:textId="77777777" w:rsidR="003B3105" w:rsidRDefault="003B3105" w:rsidP="001E533B">
            <w:pPr>
              <w:rPr>
                <w:rFonts w:ascii="新細明體" w:eastAsia="新細明體" w:hAnsi="新細明體"/>
              </w:rPr>
            </w:pPr>
          </w:p>
        </w:tc>
        <w:tc>
          <w:tcPr>
            <w:tcW w:w="1276" w:type="dxa"/>
            <w:vMerge/>
          </w:tcPr>
          <w:p w14:paraId="556E43FE" w14:textId="77777777" w:rsidR="003B3105" w:rsidRDefault="003B3105" w:rsidP="001E533B">
            <w:pPr>
              <w:rPr>
                <w:rFonts w:ascii="新細明體" w:eastAsia="新細明體" w:hAnsi="新細明體"/>
              </w:rPr>
            </w:pPr>
          </w:p>
        </w:tc>
        <w:tc>
          <w:tcPr>
            <w:tcW w:w="5386" w:type="dxa"/>
            <w:tcBorders>
              <w:top w:val="nil"/>
              <w:bottom w:val="nil"/>
            </w:tcBorders>
          </w:tcPr>
          <w:p w14:paraId="0233392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3.對子公司之監督與管理。</w:t>
            </w:r>
          </w:p>
        </w:tc>
        <w:tc>
          <w:tcPr>
            <w:tcW w:w="5387" w:type="dxa"/>
            <w:tcBorders>
              <w:top w:val="nil"/>
              <w:bottom w:val="nil"/>
            </w:tcBorders>
          </w:tcPr>
          <w:p w14:paraId="022514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3.對子公司之監督與管理。</w:t>
            </w:r>
          </w:p>
        </w:tc>
        <w:tc>
          <w:tcPr>
            <w:tcW w:w="2023" w:type="dxa"/>
            <w:vMerge/>
            <w:tcBorders>
              <w:right w:val="single" w:sz="12" w:space="0" w:color="auto"/>
            </w:tcBorders>
          </w:tcPr>
          <w:p w14:paraId="63A03D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6B842D" w14:textId="77777777">
        <w:tc>
          <w:tcPr>
            <w:tcW w:w="1384" w:type="dxa"/>
            <w:vMerge/>
            <w:tcBorders>
              <w:left w:val="single" w:sz="12" w:space="0" w:color="auto"/>
            </w:tcBorders>
          </w:tcPr>
          <w:p w14:paraId="3A583F8D" w14:textId="77777777" w:rsidR="003B3105" w:rsidRDefault="003B3105" w:rsidP="001E533B">
            <w:pPr>
              <w:rPr>
                <w:rFonts w:ascii="新細明體" w:eastAsia="新細明體" w:hAnsi="新細明體"/>
              </w:rPr>
            </w:pPr>
          </w:p>
        </w:tc>
        <w:tc>
          <w:tcPr>
            <w:tcW w:w="1276" w:type="dxa"/>
            <w:vMerge/>
          </w:tcPr>
          <w:p w14:paraId="668AE09B" w14:textId="77777777" w:rsidR="003B3105" w:rsidRDefault="003B3105" w:rsidP="001E533B">
            <w:pPr>
              <w:rPr>
                <w:rFonts w:ascii="新細明體" w:eastAsia="新細明體" w:hAnsi="新細明體"/>
              </w:rPr>
            </w:pPr>
          </w:p>
        </w:tc>
        <w:tc>
          <w:tcPr>
            <w:tcW w:w="5386" w:type="dxa"/>
            <w:tcBorders>
              <w:top w:val="nil"/>
              <w:bottom w:val="nil"/>
            </w:tcBorders>
          </w:tcPr>
          <w:p w14:paraId="78D7991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4.財務報表編製流程之管理（包括適用國際財務報導準則之管理、會計專業判斷程序、會計政策與估計值變動之流程</w:t>
            </w:r>
            <w:r>
              <w:rPr>
                <w:rFonts w:ascii="新細明體" w:eastAsia="新細明體" w:hAnsi="新細明體" w:cs="新細明體" w:hint="eastAsia"/>
              </w:rPr>
              <w:lastRenderedPageBreak/>
              <w:t>等）。</w:t>
            </w:r>
          </w:p>
        </w:tc>
        <w:tc>
          <w:tcPr>
            <w:tcW w:w="5387" w:type="dxa"/>
            <w:tcBorders>
              <w:top w:val="nil"/>
              <w:bottom w:val="nil"/>
            </w:tcBorders>
          </w:tcPr>
          <w:p w14:paraId="0218C7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4.財務報表編製流程之管理（包括適用國際財務報導準則之管理、會計專業判斷程序、會計政策與估計值變動之流程</w:t>
            </w:r>
            <w:r>
              <w:rPr>
                <w:rFonts w:ascii="新細明體" w:eastAsia="新細明體" w:hAnsi="新細明體" w:cs="新細明體" w:hint="eastAsia"/>
              </w:rPr>
              <w:lastRenderedPageBreak/>
              <w:t>等）。</w:t>
            </w:r>
          </w:p>
        </w:tc>
        <w:tc>
          <w:tcPr>
            <w:tcW w:w="2023" w:type="dxa"/>
            <w:vMerge/>
            <w:tcBorders>
              <w:right w:val="single" w:sz="12" w:space="0" w:color="auto"/>
            </w:tcBorders>
          </w:tcPr>
          <w:p w14:paraId="0BB2B8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93FDE6" w14:textId="77777777">
        <w:tc>
          <w:tcPr>
            <w:tcW w:w="1384" w:type="dxa"/>
            <w:vMerge/>
            <w:tcBorders>
              <w:left w:val="single" w:sz="12" w:space="0" w:color="auto"/>
            </w:tcBorders>
          </w:tcPr>
          <w:p w14:paraId="51BAAD85" w14:textId="77777777" w:rsidR="003B3105" w:rsidRDefault="003B3105" w:rsidP="001E533B">
            <w:pPr>
              <w:rPr>
                <w:rFonts w:ascii="新細明體" w:eastAsia="新細明體" w:hAnsi="新細明體"/>
              </w:rPr>
            </w:pPr>
          </w:p>
        </w:tc>
        <w:tc>
          <w:tcPr>
            <w:tcW w:w="1276" w:type="dxa"/>
            <w:vMerge/>
          </w:tcPr>
          <w:p w14:paraId="019FA98D" w14:textId="77777777" w:rsidR="003B3105" w:rsidRDefault="003B3105" w:rsidP="001E533B">
            <w:pPr>
              <w:rPr>
                <w:rFonts w:ascii="新細明體" w:eastAsia="新細明體" w:hAnsi="新細明體"/>
              </w:rPr>
            </w:pPr>
          </w:p>
        </w:tc>
        <w:tc>
          <w:tcPr>
            <w:tcW w:w="5386" w:type="dxa"/>
            <w:tcBorders>
              <w:top w:val="nil"/>
              <w:bottom w:val="nil"/>
            </w:tcBorders>
          </w:tcPr>
          <w:p w14:paraId="65383EB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5.資通安全檢查。</w:t>
            </w:r>
          </w:p>
        </w:tc>
        <w:tc>
          <w:tcPr>
            <w:tcW w:w="5387" w:type="dxa"/>
            <w:tcBorders>
              <w:top w:val="nil"/>
              <w:bottom w:val="nil"/>
            </w:tcBorders>
          </w:tcPr>
          <w:p w14:paraId="39CAF1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5.資通安全檢查。</w:t>
            </w:r>
          </w:p>
        </w:tc>
        <w:tc>
          <w:tcPr>
            <w:tcW w:w="2023" w:type="dxa"/>
            <w:vMerge/>
            <w:tcBorders>
              <w:right w:val="single" w:sz="12" w:space="0" w:color="auto"/>
            </w:tcBorders>
          </w:tcPr>
          <w:p w14:paraId="398DC3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F1100E" w14:textId="77777777">
        <w:tc>
          <w:tcPr>
            <w:tcW w:w="1384" w:type="dxa"/>
            <w:vMerge/>
            <w:tcBorders>
              <w:left w:val="single" w:sz="12" w:space="0" w:color="auto"/>
            </w:tcBorders>
          </w:tcPr>
          <w:p w14:paraId="5E8015D4" w14:textId="77777777" w:rsidR="003B3105" w:rsidRDefault="003B3105" w:rsidP="001E533B">
            <w:pPr>
              <w:rPr>
                <w:rFonts w:ascii="新細明體" w:eastAsia="新細明體" w:hAnsi="新細明體"/>
              </w:rPr>
            </w:pPr>
          </w:p>
        </w:tc>
        <w:tc>
          <w:tcPr>
            <w:tcW w:w="1276" w:type="dxa"/>
            <w:vMerge/>
          </w:tcPr>
          <w:p w14:paraId="72D24579" w14:textId="77777777" w:rsidR="003B3105" w:rsidRDefault="003B3105" w:rsidP="001E533B">
            <w:pPr>
              <w:rPr>
                <w:rFonts w:ascii="新細明體" w:eastAsia="新細明體" w:hAnsi="新細明體"/>
              </w:rPr>
            </w:pPr>
          </w:p>
        </w:tc>
        <w:tc>
          <w:tcPr>
            <w:tcW w:w="5386" w:type="dxa"/>
            <w:tcBorders>
              <w:top w:val="nil"/>
              <w:bottom w:val="nil"/>
            </w:tcBorders>
          </w:tcPr>
          <w:p w14:paraId="07C01C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6.對金融消費者保護之管理。</w:t>
            </w:r>
          </w:p>
        </w:tc>
        <w:tc>
          <w:tcPr>
            <w:tcW w:w="5387" w:type="dxa"/>
            <w:tcBorders>
              <w:top w:val="nil"/>
              <w:bottom w:val="nil"/>
            </w:tcBorders>
          </w:tcPr>
          <w:p w14:paraId="701364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6.對金融消費者保護之管理。</w:t>
            </w:r>
          </w:p>
        </w:tc>
        <w:tc>
          <w:tcPr>
            <w:tcW w:w="2023" w:type="dxa"/>
            <w:vMerge/>
            <w:tcBorders>
              <w:right w:val="single" w:sz="12" w:space="0" w:color="auto"/>
            </w:tcBorders>
          </w:tcPr>
          <w:p w14:paraId="330AF1F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EF35CB" w14:textId="77777777">
        <w:tc>
          <w:tcPr>
            <w:tcW w:w="1384" w:type="dxa"/>
            <w:vMerge/>
            <w:tcBorders>
              <w:left w:val="single" w:sz="12" w:space="0" w:color="auto"/>
            </w:tcBorders>
          </w:tcPr>
          <w:p w14:paraId="4C01D0F0" w14:textId="77777777" w:rsidR="003B3105" w:rsidRDefault="003B3105" w:rsidP="001E533B">
            <w:pPr>
              <w:rPr>
                <w:rFonts w:ascii="新細明體" w:eastAsia="新細明體" w:hAnsi="新細明體"/>
              </w:rPr>
            </w:pPr>
          </w:p>
        </w:tc>
        <w:tc>
          <w:tcPr>
            <w:tcW w:w="1276" w:type="dxa"/>
            <w:vMerge/>
          </w:tcPr>
          <w:p w14:paraId="7CB95795" w14:textId="77777777" w:rsidR="003B3105" w:rsidRDefault="003B3105" w:rsidP="001E533B">
            <w:pPr>
              <w:rPr>
                <w:rFonts w:ascii="新細明體" w:eastAsia="新細明體" w:hAnsi="新細明體"/>
              </w:rPr>
            </w:pPr>
          </w:p>
        </w:tc>
        <w:tc>
          <w:tcPr>
            <w:tcW w:w="5386" w:type="dxa"/>
            <w:tcBorders>
              <w:top w:val="nil"/>
              <w:bottom w:val="nil"/>
            </w:tcBorders>
          </w:tcPr>
          <w:p w14:paraId="6D61EB8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7.防制洗錢及打擊資恐及其相關法令遵循之管理。</w:t>
            </w:r>
          </w:p>
        </w:tc>
        <w:tc>
          <w:tcPr>
            <w:tcW w:w="5387" w:type="dxa"/>
            <w:tcBorders>
              <w:top w:val="nil"/>
              <w:bottom w:val="nil"/>
            </w:tcBorders>
          </w:tcPr>
          <w:p w14:paraId="6094C8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7.防制洗錢及打擊資恐及其相關法令遵循之管理。</w:t>
            </w:r>
          </w:p>
        </w:tc>
        <w:tc>
          <w:tcPr>
            <w:tcW w:w="2023" w:type="dxa"/>
            <w:vMerge/>
            <w:tcBorders>
              <w:right w:val="single" w:sz="12" w:space="0" w:color="auto"/>
            </w:tcBorders>
          </w:tcPr>
          <w:p w14:paraId="46CF1F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B7A55C" w14:textId="77777777">
        <w:tc>
          <w:tcPr>
            <w:tcW w:w="1384" w:type="dxa"/>
            <w:vMerge/>
            <w:tcBorders>
              <w:left w:val="single" w:sz="12" w:space="0" w:color="auto"/>
            </w:tcBorders>
          </w:tcPr>
          <w:p w14:paraId="7DEF6829" w14:textId="77777777" w:rsidR="003B3105" w:rsidRDefault="003B3105" w:rsidP="001E533B">
            <w:pPr>
              <w:rPr>
                <w:rFonts w:ascii="新細明體" w:eastAsia="新細明體" w:hAnsi="新細明體"/>
              </w:rPr>
            </w:pPr>
          </w:p>
        </w:tc>
        <w:tc>
          <w:tcPr>
            <w:tcW w:w="1276" w:type="dxa"/>
            <w:vMerge/>
          </w:tcPr>
          <w:p w14:paraId="647BEEAB" w14:textId="77777777" w:rsidR="003B3105" w:rsidRDefault="003B3105" w:rsidP="001E533B">
            <w:pPr>
              <w:rPr>
                <w:rFonts w:ascii="新細明體" w:eastAsia="新細明體" w:hAnsi="新細明體"/>
              </w:rPr>
            </w:pPr>
          </w:p>
        </w:tc>
        <w:tc>
          <w:tcPr>
            <w:tcW w:w="5386" w:type="dxa"/>
            <w:tcBorders>
              <w:top w:val="nil"/>
              <w:bottom w:val="nil"/>
            </w:tcBorders>
          </w:tcPr>
          <w:p w14:paraId="0180070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股票公開發行之證券商，尚應包括董事會議事運作之管理。股票已上市或在證券商營業處所買賣之證券商之每年年度稽核計畫，除應包括上開之稽核項目外，尚應包括薪資報酬委員會運作之管理。股票已上市或在證券商營業處所上櫃買賣之證券商，其年度稽核計畫，應包括永續資訊之管理。公司已依證券交易法規定設置審計委員會者，其年度稽核計畫，尚應包括審計委員會議事運作之管理。</w:t>
            </w:r>
          </w:p>
        </w:tc>
        <w:tc>
          <w:tcPr>
            <w:tcW w:w="5387" w:type="dxa"/>
            <w:tcBorders>
              <w:top w:val="nil"/>
              <w:bottom w:val="nil"/>
            </w:tcBorders>
          </w:tcPr>
          <w:p w14:paraId="279ADA3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股票公開發行之證券商，尚應包括董事會議事運作之管理。股票已上市或在證券商營業處所買賣之證券商之每年年度稽核計畫，除應包括上開之稽核項目外，尚應包括薪資報酬委員會運作之管理。股票已上市或在證券商營業處所上櫃買賣之證券商，其年度稽核計畫，應包括永續資訊之管理。公司已依證券交易法規定設置審計委員會者，其年度稽核計畫，尚應包括審計委員會議事運作之管理。</w:t>
            </w:r>
          </w:p>
        </w:tc>
        <w:tc>
          <w:tcPr>
            <w:tcW w:w="2023" w:type="dxa"/>
            <w:vMerge/>
            <w:tcBorders>
              <w:right w:val="single" w:sz="12" w:space="0" w:color="auto"/>
            </w:tcBorders>
          </w:tcPr>
          <w:p w14:paraId="7AB1F9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023524" w14:textId="77777777">
        <w:tc>
          <w:tcPr>
            <w:tcW w:w="1384" w:type="dxa"/>
            <w:vMerge/>
            <w:tcBorders>
              <w:left w:val="single" w:sz="12" w:space="0" w:color="auto"/>
            </w:tcBorders>
          </w:tcPr>
          <w:p w14:paraId="584F8A5F" w14:textId="77777777" w:rsidR="003B3105" w:rsidRDefault="003B3105" w:rsidP="001E533B">
            <w:pPr>
              <w:rPr>
                <w:rFonts w:ascii="新細明體" w:eastAsia="新細明體" w:hAnsi="新細明體"/>
              </w:rPr>
            </w:pPr>
          </w:p>
        </w:tc>
        <w:tc>
          <w:tcPr>
            <w:tcW w:w="1276" w:type="dxa"/>
            <w:vMerge/>
          </w:tcPr>
          <w:p w14:paraId="7E7C3114" w14:textId="77777777" w:rsidR="003B3105" w:rsidRDefault="003B3105" w:rsidP="001E533B">
            <w:pPr>
              <w:rPr>
                <w:rFonts w:ascii="新細明體" w:eastAsia="新細明體" w:hAnsi="新細明體"/>
              </w:rPr>
            </w:pPr>
          </w:p>
        </w:tc>
        <w:tc>
          <w:tcPr>
            <w:tcW w:w="5386" w:type="dxa"/>
            <w:tcBorders>
              <w:top w:val="nil"/>
              <w:bottom w:val="nil"/>
            </w:tcBorders>
          </w:tcPr>
          <w:p w14:paraId="7D73D2E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年度稽核計畫應經董事會通過。已設立獨立董事者，將年度稽核計畫提報董事會討論時，應充分考量各獨立董事之意見，獨立董事如有反對意見或保留意見，應於董事會議事錄載明。</w:t>
            </w:r>
          </w:p>
        </w:tc>
        <w:tc>
          <w:tcPr>
            <w:tcW w:w="5387" w:type="dxa"/>
            <w:tcBorders>
              <w:top w:val="nil"/>
              <w:bottom w:val="nil"/>
            </w:tcBorders>
          </w:tcPr>
          <w:p w14:paraId="5F6F1E3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年度稽核計畫應經董事會通過。已設立獨立董事者，將年度稽核計畫提報董事會討論時，應充分考量各獨立董事之意見，獨立董事如有反對意見或保留意見，應於董事會議事錄載明。</w:t>
            </w:r>
          </w:p>
        </w:tc>
        <w:tc>
          <w:tcPr>
            <w:tcW w:w="2023" w:type="dxa"/>
            <w:vMerge/>
            <w:tcBorders>
              <w:right w:val="single" w:sz="12" w:space="0" w:color="auto"/>
            </w:tcBorders>
          </w:tcPr>
          <w:p w14:paraId="44E721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1C8640" w14:textId="77777777">
        <w:tc>
          <w:tcPr>
            <w:tcW w:w="1384" w:type="dxa"/>
            <w:vMerge/>
            <w:tcBorders>
              <w:left w:val="single" w:sz="12" w:space="0" w:color="auto"/>
            </w:tcBorders>
          </w:tcPr>
          <w:p w14:paraId="59BD987E" w14:textId="77777777" w:rsidR="003B3105" w:rsidRDefault="003B3105" w:rsidP="001E533B">
            <w:pPr>
              <w:rPr>
                <w:rFonts w:ascii="新細明體" w:eastAsia="新細明體" w:hAnsi="新細明體"/>
              </w:rPr>
            </w:pPr>
          </w:p>
        </w:tc>
        <w:tc>
          <w:tcPr>
            <w:tcW w:w="1276" w:type="dxa"/>
            <w:vMerge/>
          </w:tcPr>
          <w:p w14:paraId="599001B3" w14:textId="77777777" w:rsidR="003B3105" w:rsidRDefault="003B3105" w:rsidP="001E533B">
            <w:pPr>
              <w:rPr>
                <w:rFonts w:ascii="新細明體" w:eastAsia="新細明體" w:hAnsi="新細明體"/>
              </w:rPr>
            </w:pPr>
          </w:p>
        </w:tc>
        <w:tc>
          <w:tcPr>
            <w:tcW w:w="5386" w:type="dxa"/>
            <w:tcBorders>
              <w:top w:val="nil"/>
              <w:bottom w:val="nil"/>
            </w:tcBorders>
          </w:tcPr>
          <w:p w14:paraId="049E076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公司應依證交所等證券機構所訂格式內容、方式及申報時間申報年度稽核計畫及其執行情形、所見異常事項改善情形。</w:t>
            </w:r>
          </w:p>
        </w:tc>
        <w:tc>
          <w:tcPr>
            <w:tcW w:w="5387" w:type="dxa"/>
            <w:tcBorders>
              <w:top w:val="nil"/>
              <w:bottom w:val="nil"/>
            </w:tcBorders>
          </w:tcPr>
          <w:p w14:paraId="3D8E7F9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公司應依證交所等證券機構所訂格式內容、方式及申報時間申報年度稽核計畫及其執行情形、所見異常事項改善情形。</w:t>
            </w:r>
          </w:p>
        </w:tc>
        <w:tc>
          <w:tcPr>
            <w:tcW w:w="2023" w:type="dxa"/>
            <w:vMerge/>
            <w:tcBorders>
              <w:right w:val="single" w:sz="12" w:space="0" w:color="auto"/>
            </w:tcBorders>
          </w:tcPr>
          <w:p w14:paraId="1EC18B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A43286" w14:textId="77777777">
        <w:tc>
          <w:tcPr>
            <w:tcW w:w="1384" w:type="dxa"/>
            <w:vMerge/>
            <w:tcBorders>
              <w:left w:val="single" w:sz="12" w:space="0" w:color="auto"/>
            </w:tcBorders>
          </w:tcPr>
          <w:p w14:paraId="1B56EBC4" w14:textId="77777777" w:rsidR="003B3105" w:rsidRDefault="003B3105" w:rsidP="001E533B">
            <w:pPr>
              <w:rPr>
                <w:rFonts w:ascii="新細明體" w:eastAsia="新細明體" w:hAnsi="新細明體"/>
              </w:rPr>
            </w:pPr>
          </w:p>
        </w:tc>
        <w:tc>
          <w:tcPr>
            <w:tcW w:w="1276" w:type="dxa"/>
            <w:vMerge/>
          </w:tcPr>
          <w:p w14:paraId="709F7F9D" w14:textId="77777777" w:rsidR="003B3105" w:rsidRDefault="003B3105" w:rsidP="001E533B">
            <w:pPr>
              <w:rPr>
                <w:rFonts w:ascii="新細明體" w:eastAsia="新細明體" w:hAnsi="新細明體"/>
              </w:rPr>
            </w:pPr>
          </w:p>
        </w:tc>
        <w:tc>
          <w:tcPr>
            <w:tcW w:w="5386" w:type="dxa"/>
            <w:tcBorders>
              <w:top w:val="nil"/>
              <w:bottom w:val="nil"/>
            </w:tcBorders>
          </w:tcPr>
          <w:p w14:paraId="31EFB0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(四)總公司應定期實地對分支機構</w:t>
            </w:r>
            <w:r>
              <w:rPr>
                <w:rFonts w:ascii="新細明體" w:eastAsia="新細明體" w:hAnsi="新細明體" w:cs="新細明體" w:hint="eastAsia"/>
                <w:b/>
                <w:color w:val="FF0000"/>
                <w:u w:val="single"/>
              </w:rPr>
              <w:t>及簡易分支機構</w:t>
            </w:r>
            <w:r>
              <w:rPr>
                <w:rFonts w:ascii="新細明體" w:eastAsia="新細明體" w:hAnsi="新細明體" w:cs="新細明體" w:hint="eastAsia"/>
              </w:rPr>
              <w:t>督導查核其內部稽核作業，其作業週期係每半年對每家國內</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分支機構及每年對每家國外分支</w:t>
            </w:r>
            <w:r>
              <w:rPr>
                <w:rFonts w:ascii="新細明體" w:eastAsia="新細明體" w:hAnsi="新細明體" w:cs="新細明體" w:hint="eastAsia"/>
              </w:rPr>
              <w:lastRenderedPageBreak/>
              <w:t>機構均至少查核乙次。</w:t>
            </w:r>
          </w:p>
        </w:tc>
        <w:tc>
          <w:tcPr>
            <w:tcW w:w="5387" w:type="dxa"/>
            <w:tcBorders>
              <w:top w:val="nil"/>
              <w:bottom w:val="nil"/>
            </w:tcBorders>
          </w:tcPr>
          <w:p w14:paraId="535FAC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(四)總公司應定期實地對分支機構督導查核其內部稽核作業，其作業週期係每半年對每家國內分支機構及每年對每家國外分支機構均至少查核乙次。</w:t>
            </w:r>
          </w:p>
        </w:tc>
        <w:tc>
          <w:tcPr>
            <w:tcW w:w="2023" w:type="dxa"/>
            <w:vMerge/>
            <w:tcBorders>
              <w:right w:val="single" w:sz="12" w:space="0" w:color="auto"/>
            </w:tcBorders>
          </w:tcPr>
          <w:p w14:paraId="186A86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85BBF7" w14:textId="77777777">
        <w:tc>
          <w:tcPr>
            <w:tcW w:w="1384" w:type="dxa"/>
            <w:vMerge/>
            <w:tcBorders>
              <w:left w:val="single" w:sz="12" w:space="0" w:color="auto"/>
            </w:tcBorders>
          </w:tcPr>
          <w:p w14:paraId="3B332E2C" w14:textId="77777777" w:rsidR="003B3105" w:rsidRDefault="003B3105" w:rsidP="001E533B">
            <w:pPr>
              <w:rPr>
                <w:rFonts w:ascii="新細明體" w:eastAsia="新細明體" w:hAnsi="新細明體"/>
              </w:rPr>
            </w:pPr>
          </w:p>
        </w:tc>
        <w:tc>
          <w:tcPr>
            <w:tcW w:w="1276" w:type="dxa"/>
            <w:vMerge/>
          </w:tcPr>
          <w:p w14:paraId="357F329D" w14:textId="77777777" w:rsidR="003B3105" w:rsidRDefault="003B3105" w:rsidP="001E533B">
            <w:pPr>
              <w:rPr>
                <w:rFonts w:ascii="新細明體" w:eastAsia="新細明體" w:hAnsi="新細明體"/>
              </w:rPr>
            </w:pPr>
          </w:p>
        </w:tc>
        <w:tc>
          <w:tcPr>
            <w:tcW w:w="5386" w:type="dxa"/>
            <w:tcBorders>
              <w:top w:val="nil"/>
              <w:bottom w:val="nil"/>
            </w:tcBorders>
          </w:tcPr>
          <w:p w14:paraId="6BC588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(五)公司申請合併或受讓其他證券商增設分支機構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者，總公司對該等</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分支機構內部稽核督導作業，應於合併或受讓之</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分支機構開始營業後二個月內執行完竣。至因合併或受讓後增設之</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分支機構較多者，得向證交所專案申請展期。</w:t>
            </w:r>
          </w:p>
        </w:tc>
        <w:tc>
          <w:tcPr>
            <w:tcW w:w="5387" w:type="dxa"/>
            <w:tcBorders>
              <w:top w:val="nil"/>
              <w:bottom w:val="nil"/>
            </w:tcBorders>
          </w:tcPr>
          <w:p w14:paraId="141A28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公司申請合併或受讓其他證券商增設分支機構者，總公司對該等分支機構內部稽核督導作業，應於合併或受讓之分支機構開始營業後二個月內執行完竣。至因合併或受讓後增設之分支機構較多者，得向證交所專案申請展期。</w:t>
            </w:r>
          </w:p>
        </w:tc>
        <w:tc>
          <w:tcPr>
            <w:tcW w:w="2023" w:type="dxa"/>
            <w:vMerge/>
            <w:tcBorders>
              <w:right w:val="single" w:sz="12" w:space="0" w:color="auto"/>
            </w:tcBorders>
          </w:tcPr>
          <w:p w14:paraId="4A9BF7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D1A730" w14:textId="77777777">
        <w:tc>
          <w:tcPr>
            <w:tcW w:w="1384" w:type="dxa"/>
            <w:vMerge/>
            <w:tcBorders>
              <w:left w:val="single" w:sz="12" w:space="0" w:color="auto"/>
            </w:tcBorders>
          </w:tcPr>
          <w:p w14:paraId="1188D3C4" w14:textId="77777777" w:rsidR="003B3105" w:rsidRDefault="003B3105" w:rsidP="001E533B">
            <w:pPr>
              <w:rPr>
                <w:rFonts w:ascii="新細明體" w:eastAsia="新細明體" w:hAnsi="新細明體"/>
              </w:rPr>
            </w:pPr>
          </w:p>
        </w:tc>
        <w:tc>
          <w:tcPr>
            <w:tcW w:w="1276" w:type="dxa"/>
            <w:vMerge/>
          </w:tcPr>
          <w:p w14:paraId="4930C24C" w14:textId="77777777" w:rsidR="003B3105" w:rsidRDefault="003B3105" w:rsidP="001E533B">
            <w:pPr>
              <w:rPr>
                <w:rFonts w:ascii="新細明體" w:eastAsia="新細明體" w:hAnsi="新細明體"/>
              </w:rPr>
            </w:pPr>
          </w:p>
        </w:tc>
        <w:tc>
          <w:tcPr>
            <w:tcW w:w="5386" w:type="dxa"/>
            <w:tcBorders>
              <w:top w:val="nil"/>
              <w:bottom w:val="nil"/>
            </w:tcBorders>
          </w:tcPr>
          <w:p w14:paraId="6E9AAB0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十二、內部稽核之職能：</w:t>
            </w:r>
          </w:p>
        </w:tc>
        <w:tc>
          <w:tcPr>
            <w:tcW w:w="5387" w:type="dxa"/>
            <w:tcBorders>
              <w:top w:val="nil"/>
              <w:bottom w:val="nil"/>
            </w:tcBorders>
          </w:tcPr>
          <w:p w14:paraId="3E9F5DE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十二、內部稽核之職能：</w:t>
            </w:r>
          </w:p>
        </w:tc>
        <w:tc>
          <w:tcPr>
            <w:tcW w:w="2023" w:type="dxa"/>
            <w:vMerge/>
            <w:tcBorders>
              <w:right w:val="single" w:sz="12" w:space="0" w:color="auto"/>
            </w:tcBorders>
          </w:tcPr>
          <w:p w14:paraId="02E2D3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22DF31" w14:textId="77777777">
        <w:tc>
          <w:tcPr>
            <w:tcW w:w="1384" w:type="dxa"/>
            <w:vMerge/>
            <w:tcBorders>
              <w:left w:val="single" w:sz="12" w:space="0" w:color="auto"/>
            </w:tcBorders>
          </w:tcPr>
          <w:p w14:paraId="5007B155" w14:textId="77777777" w:rsidR="003B3105" w:rsidRDefault="003B3105" w:rsidP="001E533B">
            <w:pPr>
              <w:rPr>
                <w:rFonts w:ascii="新細明體" w:eastAsia="新細明體" w:hAnsi="新細明體"/>
              </w:rPr>
            </w:pPr>
          </w:p>
        </w:tc>
        <w:tc>
          <w:tcPr>
            <w:tcW w:w="1276" w:type="dxa"/>
            <w:vMerge/>
          </w:tcPr>
          <w:p w14:paraId="522AF301" w14:textId="77777777" w:rsidR="003B3105" w:rsidRDefault="003B3105" w:rsidP="001E533B">
            <w:pPr>
              <w:rPr>
                <w:rFonts w:ascii="新細明體" w:eastAsia="新細明體" w:hAnsi="新細明體"/>
              </w:rPr>
            </w:pPr>
          </w:p>
        </w:tc>
        <w:tc>
          <w:tcPr>
            <w:tcW w:w="5386" w:type="dxa"/>
            <w:tcBorders>
              <w:top w:val="nil"/>
              <w:bottom w:val="nil"/>
            </w:tcBorders>
          </w:tcPr>
          <w:p w14:paraId="54B9412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內部稽核職能之目的及範圍通常包括用以評估並改善企業之治理、風險管理及內部控制流程有效性之確信及諮詢工作，該等工作例示如下：</w:t>
            </w:r>
          </w:p>
        </w:tc>
        <w:tc>
          <w:tcPr>
            <w:tcW w:w="5387" w:type="dxa"/>
            <w:tcBorders>
              <w:top w:val="nil"/>
              <w:bottom w:val="nil"/>
            </w:tcBorders>
          </w:tcPr>
          <w:p w14:paraId="6204920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內部稽核職能之目的及範圍通常包括用以評估並改善企業之治理、風險管理及內部控制流程有效性之確信及諮詢工作，該等工作例示如下：</w:t>
            </w:r>
          </w:p>
        </w:tc>
        <w:tc>
          <w:tcPr>
            <w:tcW w:w="2023" w:type="dxa"/>
            <w:vMerge/>
            <w:tcBorders>
              <w:right w:val="single" w:sz="12" w:space="0" w:color="auto"/>
            </w:tcBorders>
          </w:tcPr>
          <w:p w14:paraId="646357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90266E" w14:textId="77777777">
        <w:tc>
          <w:tcPr>
            <w:tcW w:w="1384" w:type="dxa"/>
            <w:vMerge/>
            <w:tcBorders>
              <w:left w:val="single" w:sz="12" w:space="0" w:color="auto"/>
            </w:tcBorders>
          </w:tcPr>
          <w:p w14:paraId="1ED93744" w14:textId="77777777" w:rsidR="003B3105" w:rsidRDefault="003B3105" w:rsidP="001E533B">
            <w:pPr>
              <w:rPr>
                <w:rFonts w:ascii="新細明體" w:eastAsia="新細明體" w:hAnsi="新細明體"/>
              </w:rPr>
            </w:pPr>
          </w:p>
        </w:tc>
        <w:tc>
          <w:tcPr>
            <w:tcW w:w="1276" w:type="dxa"/>
            <w:vMerge/>
          </w:tcPr>
          <w:p w14:paraId="0E29E4BA" w14:textId="77777777" w:rsidR="003B3105" w:rsidRDefault="003B3105" w:rsidP="001E533B">
            <w:pPr>
              <w:rPr>
                <w:rFonts w:ascii="新細明體" w:eastAsia="新細明體" w:hAnsi="新細明體"/>
              </w:rPr>
            </w:pPr>
          </w:p>
        </w:tc>
        <w:tc>
          <w:tcPr>
            <w:tcW w:w="5386" w:type="dxa"/>
            <w:tcBorders>
              <w:top w:val="nil"/>
              <w:bottom w:val="nil"/>
            </w:tcBorders>
          </w:tcPr>
          <w:p w14:paraId="78386F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(一)與治理有關之工作：</w:t>
            </w:r>
          </w:p>
        </w:tc>
        <w:tc>
          <w:tcPr>
            <w:tcW w:w="5387" w:type="dxa"/>
            <w:tcBorders>
              <w:top w:val="nil"/>
              <w:bottom w:val="nil"/>
            </w:tcBorders>
          </w:tcPr>
          <w:p w14:paraId="282659E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(一)與治理有關之工作：</w:t>
            </w:r>
          </w:p>
        </w:tc>
        <w:tc>
          <w:tcPr>
            <w:tcW w:w="2023" w:type="dxa"/>
            <w:vMerge/>
            <w:tcBorders>
              <w:right w:val="single" w:sz="12" w:space="0" w:color="auto"/>
            </w:tcBorders>
          </w:tcPr>
          <w:p w14:paraId="6253B6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DFE614" w14:textId="77777777">
        <w:tc>
          <w:tcPr>
            <w:tcW w:w="1384" w:type="dxa"/>
            <w:vMerge/>
            <w:tcBorders>
              <w:left w:val="single" w:sz="12" w:space="0" w:color="auto"/>
            </w:tcBorders>
          </w:tcPr>
          <w:p w14:paraId="751F1B8E" w14:textId="77777777" w:rsidR="003B3105" w:rsidRDefault="003B3105" w:rsidP="001E533B">
            <w:pPr>
              <w:rPr>
                <w:rFonts w:ascii="新細明體" w:eastAsia="新細明體" w:hAnsi="新細明體"/>
              </w:rPr>
            </w:pPr>
          </w:p>
        </w:tc>
        <w:tc>
          <w:tcPr>
            <w:tcW w:w="1276" w:type="dxa"/>
            <w:vMerge/>
          </w:tcPr>
          <w:p w14:paraId="45710F5F" w14:textId="77777777" w:rsidR="003B3105" w:rsidRDefault="003B3105" w:rsidP="001E533B">
            <w:pPr>
              <w:rPr>
                <w:rFonts w:ascii="新細明體" w:eastAsia="新細明體" w:hAnsi="新細明體"/>
              </w:rPr>
            </w:pPr>
          </w:p>
        </w:tc>
        <w:tc>
          <w:tcPr>
            <w:tcW w:w="5386" w:type="dxa"/>
            <w:tcBorders>
              <w:top w:val="nil"/>
              <w:bottom w:val="nil"/>
            </w:tcBorders>
          </w:tcPr>
          <w:p w14:paraId="1D6781DC"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內部稽核職能可評估治理流程是否達成下列目標：</w:t>
            </w:r>
          </w:p>
        </w:tc>
        <w:tc>
          <w:tcPr>
            <w:tcW w:w="5387" w:type="dxa"/>
            <w:tcBorders>
              <w:top w:val="nil"/>
              <w:bottom w:val="nil"/>
            </w:tcBorders>
          </w:tcPr>
          <w:p w14:paraId="26EDA04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內部稽核職能可評估治理流程是否達成下列目標：</w:t>
            </w:r>
          </w:p>
        </w:tc>
        <w:tc>
          <w:tcPr>
            <w:tcW w:w="2023" w:type="dxa"/>
            <w:vMerge/>
            <w:tcBorders>
              <w:right w:val="single" w:sz="12" w:space="0" w:color="auto"/>
            </w:tcBorders>
          </w:tcPr>
          <w:p w14:paraId="052B79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A91DA6" w14:textId="77777777">
        <w:tc>
          <w:tcPr>
            <w:tcW w:w="1384" w:type="dxa"/>
            <w:vMerge/>
            <w:tcBorders>
              <w:left w:val="single" w:sz="12" w:space="0" w:color="auto"/>
            </w:tcBorders>
          </w:tcPr>
          <w:p w14:paraId="7B8A8646" w14:textId="77777777" w:rsidR="003B3105" w:rsidRDefault="003B3105" w:rsidP="001E533B">
            <w:pPr>
              <w:rPr>
                <w:rFonts w:ascii="新細明體" w:eastAsia="新細明體" w:hAnsi="新細明體"/>
              </w:rPr>
            </w:pPr>
          </w:p>
        </w:tc>
        <w:tc>
          <w:tcPr>
            <w:tcW w:w="1276" w:type="dxa"/>
            <w:vMerge/>
          </w:tcPr>
          <w:p w14:paraId="0C4E12C2" w14:textId="77777777" w:rsidR="003B3105" w:rsidRDefault="003B3105" w:rsidP="001E533B">
            <w:pPr>
              <w:rPr>
                <w:rFonts w:ascii="新細明體" w:eastAsia="新細明體" w:hAnsi="新細明體"/>
              </w:rPr>
            </w:pPr>
          </w:p>
        </w:tc>
        <w:tc>
          <w:tcPr>
            <w:tcW w:w="5386" w:type="dxa"/>
            <w:tcBorders>
              <w:top w:val="nil"/>
              <w:bottom w:val="nil"/>
            </w:tcBorders>
          </w:tcPr>
          <w:p w14:paraId="2A3262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1.道德及價值。</w:t>
            </w:r>
          </w:p>
        </w:tc>
        <w:tc>
          <w:tcPr>
            <w:tcW w:w="5387" w:type="dxa"/>
            <w:tcBorders>
              <w:top w:val="nil"/>
              <w:bottom w:val="nil"/>
            </w:tcBorders>
          </w:tcPr>
          <w:p w14:paraId="69FAF5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1.道德及價值。</w:t>
            </w:r>
          </w:p>
        </w:tc>
        <w:tc>
          <w:tcPr>
            <w:tcW w:w="2023" w:type="dxa"/>
            <w:vMerge/>
            <w:tcBorders>
              <w:right w:val="single" w:sz="12" w:space="0" w:color="auto"/>
            </w:tcBorders>
          </w:tcPr>
          <w:p w14:paraId="5B9F0C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332C17" w14:textId="77777777">
        <w:tc>
          <w:tcPr>
            <w:tcW w:w="1384" w:type="dxa"/>
            <w:vMerge/>
            <w:tcBorders>
              <w:left w:val="single" w:sz="12" w:space="0" w:color="auto"/>
            </w:tcBorders>
          </w:tcPr>
          <w:p w14:paraId="15E3646A" w14:textId="77777777" w:rsidR="003B3105" w:rsidRDefault="003B3105" w:rsidP="001E533B">
            <w:pPr>
              <w:rPr>
                <w:rFonts w:ascii="新細明體" w:eastAsia="新細明體" w:hAnsi="新細明體"/>
              </w:rPr>
            </w:pPr>
          </w:p>
        </w:tc>
        <w:tc>
          <w:tcPr>
            <w:tcW w:w="1276" w:type="dxa"/>
            <w:vMerge/>
          </w:tcPr>
          <w:p w14:paraId="4F8FFAC4" w14:textId="77777777" w:rsidR="003B3105" w:rsidRDefault="003B3105" w:rsidP="001E533B">
            <w:pPr>
              <w:rPr>
                <w:rFonts w:ascii="新細明體" w:eastAsia="新細明體" w:hAnsi="新細明體"/>
              </w:rPr>
            </w:pPr>
          </w:p>
        </w:tc>
        <w:tc>
          <w:tcPr>
            <w:tcW w:w="5386" w:type="dxa"/>
            <w:tcBorders>
              <w:top w:val="nil"/>
              <w:bottom w:val="nil"/>
            </w:tcBorders>
          </w:tcPr>
          <w:p w14:paraId="61941D3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2.績效管理及課責性。</w:t>
            </w:r>
          </w:p>
        </w:tc>
        <w:tc>
          <w:tcPr>
            <w:tcW w:w="5387" w:type="dxa"/>
            <w:tcBorders>
              <w:top w:val="nil"/>
              <w:bottom w:val="nil"/>
            </w:tcBorders>
          </w:tcPr>
          <w:p w14:paraId="0A32F73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2.績效管理及課責性。</w:t>
            </w:r>
          </w:p>
        </w:tc>
        <w:tc>
          <w:tcPr>
            <w:tcW w:w="2023" w:type="dxa"/>
            <w:vMerge/>
            <w:tcBorders>
              <w:right w:val="single" w:sz="12" w:space="0" w:color="auto"/>
            </w:tcBorders>
          </w:tcPr>
          <w:p w14:paraId="6043DA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525892" w14:textId="77777777">
        <w:tc>
          <w:tcPr>
            <w:tcW w:w="1384" w:type="dxa"/>
            <w:vMerge/>
            <w:tcBorders>
              <w:left w:val="single" w:sz="12" w:space="0" w:color="auto"/>
            </w:tcBorders>
          </w:tcPr>
          <w:p w14:paraId="142F2E59" w14:textId="77777777" w:rsidR="003B3105" w:rsidRDefault="003B3105" w:rsidP="001E533B">
            <w:pPr>
              <w:rPr>
                <w:rFonts w:ascii="新細明體" w:eastAsia="新細明體" w:hAnsi="新細明體"/>
              </w:rPr>
            </w:pPr>
          </w:p>
        </w:tc>
        <w:tc>
          <w:tcPr>
            <w:tcW w:w="1276" w:type="dxa"/>
            <w:vMerge/>
          </w:tcPr>
          <w:p w14:paraId="7111C473" w14:textId="77777777" w:rsidR="003B3105" w:rsidRDefault="003B3105" w:rsidP="001E533B">
            <w:pPr>
              <w:rPr>
                <w:rFonts w:ascii="新細明體" w:eastAsia="新細明體" w:hAnsi="新細明體"/>
              </w:rPr>
            </w:pPr>
          </w:p>
        </w:tc>
        <w:tc>
          <w:tcPr>
            <w:tcW w:w="5386" w:type="dxa"/>
            <w:tcBorders>
              <w:top w:val="nil"/>
              <w:bottom w:val="nil"/>
            </w:tcBorders>
          </w:tcPr>
          <w:p w14:paraId="51AA71D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3.告知組織之適當內部單位與風險及控制有關之資訊。</w:t>
            </w:r>
          </w:p>
        </w:tc>
        <w:tc>
          <w:tcPr>
            <w:tcW w:w="5387" w:type="dxa"/>
            <w:tcBorders>
              <w:top w:val="nil"/>
              <w:bottom w:val="nil"/>
            </w:tcBorders>
          </w:tcPr>
          <w:p w14:paraId="12DE9E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3.告知組織之適當內部單位與風險及控制有關之資訊。</w:t>
            </w:r>
          </w:p>
        </w:tc>
        <w:tc>
          <w:tcPr>
            <w:tcW w:w="2023" w:type="dxa"/>
            <w:vMerge/>
            <w:tcBorders>
              <w:right w:val="single" w:sz="12" w:space="0" w:color="auto"/>
            </w:tcBorders>
          </w:tcPr>
          <w:p w14:paraId="01781F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1590F2" w14:textId="77777777">
        <w:tc>
          <w:tcPr>
            <w:tcW w:w="1384" w:type="dxa"/>
            <w:vMerge/>
            <w:tcBorders>
              <w:left w:val="single" w:sz="12" w:space="0" w:color="auto"/>
            </w:tcBorders>
          </w:tcPr>
          <w:p w14:paraId="0A1CBFD8" w14:textId="77777777" w:rsidR="003B3105" w:rsidRDefault="003B3105" w:rsidP="001E533B">
            <w:pPr>
              <w:rPr>
                <w:rFonts w:ascii="新細明體" w:eastAsia="新細明體" w:hAnsi="新細明體"/>
              </w:rPr>
            </w:pPr>
          </w:p>
        </w:tc>
        <w:tc>
          <w:tcPr>
            <w:tcW w:w="1276" w:type="dxa"/>
            <w:vMerge/>
          </w:tcPr>
          <w:p w14:paraId="0BF88894" w14:textId="77777777" w:rsidR="003B3105" w:rsidRDefault="003B3105" w:rsidP="001E533B">
            <w:pPr>
              <w:rPr>
                <w:rFonts w:ascii="新細明體" w:eastAsia="新細明體" w:hAnsi="新細明體"/>
              </w:rPr>
            </w:pPr>
          </w:p>
        </w:tc>
        <w:tc>
          <w:tcPr>
            <w:tcW w:w="5386" w:type="dxa"/>
            <w:tcBorders>
              <w:top w:val="nil"/>
              <w:bottom w:val="nil"/>
            </w:tcBorders>
          </w:tcPr>
          <w:p w14:paraId="589C57B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4.治理單位、查核人員、內部稽核人員與管理階層間之有效溝通。</w:t>
            </w:r>
          </w:p>
        </w:tc>
        <w:tc>
          <w:tcPr>
            <w:tcW w:w="5387" w:type="dxa"/>
            <w:tcBorders>
              <w:top w:val="nil"/>
              <w:bottom w:val="nil"/>
            </w:tcBorders>
          </w:tcPr>
          <w:p w14:paraId="00DD68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4.治理單位、查核人員、內部稽核人員與管理階層間之有效溝通。</w:t>
            </w:r>
          </w:p>
        </w:tc>
        <w:tc>
          <w:tcPr>
            <w:tcW w:w="2023" w:type="dxa"/>
            <w:vMerge/>
            <w:tcBorders>
              <w:right w:val="single" w:sz="12" w:space="0" w:color="auto"/>
            </w:tcBorders>
          </w:tcPr>
          <w:p w14:paraId="48F4A9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D533F5" w14:textId="77777777">
        <w:tc>
          <w:tcPr>
            <w:tcW w:w="1384" w:type="dxa"/>
            <w:vMerge/>
            <w:tcBorders>
              <w:left w:val="single" w:sz="12" w:space="0" w:color="auto"/>
            </w:tcBorders>
          </w:tcPr>
          <w:p w14:paraId="6F6675FE" w14:textId="77777777" w:rsidR="003B3105" w:rsidRDefault="003B3105" w:rsidP="001E533B">
            <w:pPr>
              <w:rPr>
                <w:rFonts w:ascii="新細明體" w:eastAsia="新細明體" w:hAnsi="新細明體"/>
              </w:rPr>
            </w:pPr>
          </w:p>
        </w:tc>
        <w:tc>
          <w:tcPr>
            <w:tcW w:w="1276" w:type="dxa"/>
            <w:vMerge/>
          </w:tcPr>
          <w:p w14:paraId="48C988A2" w14:textId="77777777" w:rsidR="003B3105" w:rsidRDefault="003B3105" w:rsidP="001E533B">
            <w:pPr>
              <w:rPr>
                <w:rFonts w:ascii="新細明體" w:eastAsia="新細明體" w:hAnsi="新細明體"/>
              </w:rPr>
            </w:pPr>
          </w:p>
        </w:tc>
        <w:tc>
          <w:tcPr>
            <w:tcW w:w="5386" w:type="dxa"/>
            <w:tcBorders>
              <w:top w:val="nil"/>
              <w:bottom w:val="nil"/>
            </w:tcBorders>
          </w:tcPr>
          <w:p w14:paraId="768B96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(二)與風險管理有關之工作：</w:t>
            </w:r>
          </w:p>
        </w:tc>
        <w:tc>
          <w:tcPr>
            <w:tcW w:w="5387" w:type="dxa"/>
            <w:tcBorders>
              <w:top w:val="nil"/>
              <w:bottom w:val="nil"/>
            </w:tcBorders>
          </w:tcPr>
          <w:p w14:paraId="6412E8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(二)與風險管理有關之工作：</w:t>
            </w:r>
          </w:p>
        </w:tc>
        <w:tc>
          <w:tcPr>
            <w:tcW w:w="2023" w:type="dxa"/>
            <w:vMerge/>
            <w:tcBorders>
              <w:right w:val="single" w:sz="12" w:space="0" w:color="auto"/>
            </w:tcBorders>
          </w:tcPr>
          <w:p w14:paraId="446BD4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A860FF" w14:textId="77777777">
        <w:tc>
          <w:tcPr>
            <w:tcW w:w="1384" w:type="dxa"/>
            <w:vMerge/>
            <w:tcBorders>
              <w:left w:val="single" w:sz="12" w:space="0" w:color="auto"/>
            </w:tcBorders>
          </w:tcPr>
          <w:p w14:paraId="49373B5C" w14:textId="77777777" w:rsidR="003B3105" w:rsidRDefault="003B3105" w:rsidP="001E533B">
            <w:pPr>
              <w:rPr>
                <w:rFonts w:ascii="新細明體" w:eastAsia="新細明體" w:hAnsi="新細明體"/>
              </w:rPr>
            </w:pPr>
          </w:p>
        </w:tc>
        <w:tc>
          <w:tcPr>
            <w:tcW w:w="1276" w:type="dxa"/>
            <w:vMerge/>
          </w:tcPr>
          <w:p w14:paraId="66ED0DEA" w14:textId="77777777" w:rsidR="003B3105" w:rsidRDefault="003B3105" w:rsidP="001E533B">
            <w:pPr>
              <w:rPr>
                <w:rFonts w:ascii="新細明體" w:eastAsia="新細明體" w:hAnsi="新細明體"/>
              </w:rPr>
            </w:pPr>
          </w:p>
        </w:tc>
        <w:tc>
          <w:tcPr>
            <w:tcW w:w="5386" w:type="dxa"/>
            <w:tcBorders>
              <w:top w:val="nil"/>
              <w:bottom w:val="nil"/>
            </w:tcBorders>
          </w:tcPr>
          <w:p w14:paraId="2F3BAD8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1.內部稽核職能可協助辨認並評估重大暴險，以及改善風險管理與內部控制（包含財務報導流程之有效性）。</w:t>
            </w:r>
          </w:p>
        </w:tc>
        <w:tc>
          <w:tcPr>
            <w:tcW w:w="5387" w:type="dxa"/>
            <w:tcBorders>
              <w:top w:val="nil"/>
              <w:bottom w:val="nil"/>
            </w:tcBorders>
          </w:tcPr>
          <w:p w14:paraId="1F7C5C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1.內部稽核職能可協助辨認並評估重大暴險，以及改善風險管理與內部控制（包含財務報導流程之有效性）。</w:t>
            </w:r>
          </w:p>
        </w:tc>
        <w:tc>
          <w:tcPr>
            <w:tcW w:w="2023" w:type="dxa"/>
            <w:vMerge/>
            <w:tcBorders>
              <w:right w:val="single" w:sz="12" w:space="0" w:color="auto"/>
            </w:tcBorders>
          </w:tcPr>
          <w:p w14:paraId="0101C3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7BEE6A" w14:textId="77777777">
        <w:tc>
          <w:tcPr>
            <w:tcW w:w="1384" w:type="dxa"/>
            <w:vMerge/>
            <w:tcBorders>
              <w:left w:val="single" w:sz="12" w:space="0" w:color="auto"/>
            </w:tcBorders>
          </w:tcPr>
          <w:p w14:paraId="459DE876" w14:textId="77777777" w:rsidR="003B3105" w:rsidRDefault="003B3105" w:rsidP="001E533B">
            <w:pPr>
              <w:rPr>
                <w:rFonts w:ascii="新細明體" w:eastAsia="新細明體" w:hAnsi="新細明體"/>
              </w:rPr>
            </w:pPr>
          </w:p>
        </w:tc>
        <w:tc>
          <w:tcPr>
            <w:tcW w:w="1276" w:type="dxa"/>
            <w:vMerge/>
          </w:tcPr>
          <w:p w14:paraId="55EBC34B" w14:textId="77777777" w:rsidR="003B3105" w:rsidRDefault="003B3105" w:rsidP="001E533B">
            <w:pPr>
              <w:rPr>
                <w:rFonts w:ascii="新細明體" w:eastAsia="新細明體" w:hAnsi="新細明體"/>
              </w:rPr>
            </w:pPr>
          </w:p>
        </w:tc>
        <w:tc>
          <w:tcPr>
            <w:tcW w:w="5386" w:type="dxa"/>
            <w:tcBorders>
              <w:top w:val="nil"/>
              <w:bottom w:val="nil"/>
            </w:tcBorders>
          </w:tcPr>
          <w:p w14:paraId="50AFF89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2.內部稽核職能可協助執行偵查舞弊之程序。</w:t>
            </w:r>
          </w:p>
        </w:tc>
        <w:tc>
          <w:tcPr>
            <w:tcW w:w="5387" w:type="dxa"/>
            <w:tcBorders>
              <w:top w:val="nil"/>
              <w:bottom w:val="nil"/>
            </w:tcBorders>
          </w:tcPr>
          <w:p w14:paraId="09E0019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2.內部稽核職能可協助執行偵查舞弊之程序。</w:t>
            </w:r>
          </w:p>
        </w:tc>
        <w:tc>
          <w:tcPr>
            <w:tcW w:w="2023" w:type="dxa"/>
            <w:vMerge/>
            <w:tcBorders>
              <w:right w:val="single" w:sz="12" w:space="0" w:color="auto"/>
            </w:tcBorders>
          </w:tcPr>
          <w:p w14:paraId="71A8A2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A94F58" w14:textId="77777777">
        <w:tc>
          <w:tcPr>
            <w:tcW w:w="1384" w:type="dxa"/>
            <w:vMerge/>
            <w:tcBorders>
              <w:left w:val="single" w:sz="12" w:space="0" w:color="auto"/>
            </w:tcBorders>
          </w:tcPr>
          <w:p w14:paraId="46765051" w14:textId="77777777" w:rsidR="003B3105" w:rsidRDefault="003B3105" w:rsidP="001E533B">
            <w:pPr>
              <w:rPr>
                <w:rFonts w:ascii="新細明體" w:eastAsia="新細明體" w:hAnsi="新細明體"/>
              </w:rPr>
            </w:pPr>
          </w:p>
        </w:tc>
        <w:tc>
          <w:tcPr>
            <w:tcW w:w="1276" w:type="dxa"/>
            <w:vMerge/>
          </w:tcPr>
          <w:p w14:paraId="43F41E59" w14:textId="77777777" w:rsidR="003B3105" w:rsidRDefault="003B3105" w:rsidP="001E533B">
            <w:pPr>
              <w:rPr>
                <w:rFonts w:ascii="新細明體" w:eastAsia="新細明體" w:hAnsi="新細明體"/>
              </w:rPr>
            </w:pPr>
          </w:p>
        </w:tc>
        <w:tc>
          <w:tcPr>
            <w:tcW w:w="5386" w:type="dxa"/>
            <w:tcBorders>
              <w:top w:val="nil"/>
              <w:bottom w:val="nil"/>
            </w:tcBorders>
          </w:tcPr>
          <w:p w14:paraId="073D1D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(三)與內部控制有關之工作：</w:t>
            </w:r>
          </w:p>
        </w:tc>
        <w:tc>
          <w:tcPr>
            <w:tcW w:w="5387" w:type="dxa"/>
            <w:tcBorders>
              <w:top w:val="nil"/>
              <w:bottom w:val="nil"/>
            </w:tcBorders>
          </w:tcPr>
          <w:p w14:paraId="4EB07A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(三)與內部控制有關之工作：</w:t>
            </w:r>
          </w:p>
        </w:tc>
        <w:tc>
          <w:tcPr>
            <w:tcW w:w="2023" w:type="dxa"/>
            <w:vMerge/>
            <w:tcBorders>
              <w:right w:val="single" w:sz="12" w:space="0" w:color="auto"/>
            </w:tcBorders>
          </w:tcPr>
          <w:p w14:paraId="63520C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6F8D21" w14:textId="77777777">
        <w:tc>
          <w:tcPr>
            <w:tcW w:w="1384" w:type="dxa"/>
            <w:vMerge/>
            <w:tcBorders>
              <w:left w:val="single" w:sz="12" w:space="0" w:color="auto"/>
            </w:tcBorders>
          </w:tcPr>
          <w:p w14:paraId="4355C3A0" w14:textId="77777777" w:rsidR="003B3105" w:rsidRDefault="003B3105" w:rsidP="001E533B">
            <w:pPr>
              <w:rPr>
                <w:rFonts w:ascii="新細明體" w:eastAsia="新細明體" w:hAnsi="新細明體"/>
              </w:rPr>
            </w:pPr>
          </w:p>
        </w:tc>
        <w:tc>
          <w:tcPr>
            <w:tcW w:w="1276" w:type="dxa"/>
            <w:vMerge/>
          </w:tcPr>
          <w:p w14:paraId="4C3EB71A" w14:textId="77777777" w:rsidR="003B3105" w:rsidRDefault="003B3105" w:rsidP="001E533B">
            <w:pPr>
              <w:rPr>
                <w:rFonts w:ascii="新細明體" w:eastAsia="新細明體" w:hAnsi="新細明體"/>
              </w:rPr>
            </w:pPr>
          </w:p>
        </w:tc>
        <w:tc>
          <w:tcPr>
            <w:tcW w:w="5386" w:type="dxa"/>
            <w:tcBorders>
              <w:top w:val="nil"/>
              <w:bottom w:val="nil"/>
            </w:tcBorders>
          </w:tcPr>
          <w:p w14:paraId="1D03427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1.內部控制之評估：</w:t>
            </w:r>
          </w:p>
        </w:tc>
        <w:tc>
          <w:tcPr>
            <w:tcW w:w="5387" w:type="dxa"/>
            <w:tcBorders>
              <w:top w:val="nil"/>
              <w:bottom w:val="nil"/>
            </w:tcBorders>
          </w:tcPr>
          <w:p w14:paraId="2119261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1.內部控制之評估：</w:t>
            </w:r>
          </w:p>
        </w:tc>
        <w:tc>
          <w:tcPr>
            <w:tcW w:w="2023" w:type="dxa"/>
            <w:vMerge/>
            <w:tcBorders>
              <w:right w:val="single" w:sz="12" w:space="0" w:color="auto"/>
            </w:tcBorders>
          </w:tcPr>
          <w:p w14:paraId="5CD74B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C91204" w14:textId="77777777">
        <w:tc>
          <w:tcPr>
            <w:tcW w:w="1384" w:type="dxa"/>
            <w:vMerge/>
            <w:tcBorders>
              <w:left w:val="single" w:sz="12" w:space="0" w:color="auto"/>
            </w:tcBorders>
          </w:tcPr>
          <w:p w14:paraId="3485F684" w14:textId="77777777" w:rsidR="003B3105" w:rsidRDefault="003B3105" w:rsidP="001E533B">
            <w:pPr>
              <w:rPr>
                <w:rFonts w:ascii="新細明體" w:eastAsia="新細明體" w:hAnsi="新細明體"/>
              </w:rPr>
            </w:pPr>
          </w:p>
        </w:tc>
        <w:tc>
          <w:tcPr>
            <w:tcW w:w="1276" w:type="dxa"/>
            <w:vMerge/>
          </w:tcPr>
          <w:p w14:paraId="124F0364" w14:textId="77777777" w:rsidR="003B3105" w:rsidRDefault="003B3105" w:rsidP="001E533B">
            <w:pPr>
              <w:rPr>
                <w:rFonts w:ascii="新細明體" w:eastAsia="新細明體" w:hAnsi="新細明體"/>
              </w:rPr>
            </w:pPr>
          </w:p>
        </w:tc>
        <w:tc>
          <w:tcPr>
            <w:tcW w:w="5386" w:type="dxa"/>
            <w:tcBorders>
              <w:top w:val="nil"/>
              <w:bottom w:val="nil"/>
            </w:tcBorders>
          </w:tcPr>
          <w:p w14:paraId="7C41DA35"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5387" w:type="dxa"/>
            <w:tcBorders>
              <w:top w:val="nil"/>
              <w:bottom w:val="nil"/>
            </w:tcBorders>
          </w:tcPr>
          <w:p w14:paraId="055D1D04"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2023" w:type="dxa"/>
            <w:vMerge/>
            <w:tcBorders>
              <w:right w:val="single" w:sz="12" w:space="0" w:color="auto"/>
            </w:tcBorders>
          </w:tcPr>
          <w:p w14:paraId="602EDC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AC3256" w14:textId="77777777">
        <w:tc>
          <w:tcPr>
            <w:tcW w:w="1384" w:type="dxa"/>
            <w:vMerge/>
            <w:tcBorders>
              <w:left w:val="single" w:sz="12" w:space="0" w:color="auto"/>
            </w:tcBorders>
          </w:tcPr>
          <w:p w14:paraId="3CC4CD57" w14:textId="77777777" w:rsidR="003B3105" w:rsidRDefault="003B3105" w:rsidP="001E533B">
            <w:pPr>
              <w:rPr>
                <w:rFonts w:ascii="新細明體" w:eastAsia="新細明體" w:hAnsi="新細明體"/>
              </w:rPr>
            </w:pPr>
          </w:p>
        </w:tc>
        <w:tc>
          <w:tcPr>
            <w:tcW w:w="1276" w:type="dxa"/>
            <w:vMerge/>
          </w:tcPr>
          <w:p w14:paraId="65064AB0" w14:textId="77777777" w:rsidR="003B3105" w:rsidRDefault="003B3105" w:rsidP="001E533B">
            <w:pPr>
              <w:rPr>
                <w:rFonts w:ascii="新細明體" w:eastAsia="新細明體" w:hAnsi="新細明體"/>
              </w:rPr>
            </w:pPr>
          </w:p>
        </w:tc>
        <w:tc>
          <w:tcPr>
            <w:tcW w:w="5386" w:type="dxa"/>
            <w:tcBorders>
              <w:top w:val="nil"/>
              <w:bottom w:val="nil"/>
            </w:tcBorders>
          </w:tcPr>
          <w:p w14:paraId="3D6C1D3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2.財務及營運資訊之檢查：</w:t>
            </w:r>
          </w:p>
        </w:tc>
        <w:tc>
          <w:tcPr>
            <w:tcW w:w="5387" w:type="dxa"/>
            <w:tcBorders>
              <w:top w:val="nil"/>
              <w:bottom w:val="nil"/>
            </w:tcBorders>
          </w:tcPr>
          <w:p w14:paraId="77A9108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2.財務及營運資訊之檢查：</w:t>
            </w:r>
          </w:p>
        </w:tc>
        <w:tc>
          <w:tcPr>
            <w:tcW w:w="2023" w:type="dxa"/>
            <w:vMerge/>
            <w:tcBorders>
              <w:right w:val="single" w:sz="12" w:space="0" w:color="auto"/>
            </w:tcBorders>
          </w:tcPr>
          <w:p w14:paraId="2BEB23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C4E89D" w14:textId="77777777">
        <w:tc>
          <w:tcPr>
            <w:tcW w:w="1384" w:type="dxa"/>
            <w:vMerge/>
            <w:tcBorders>
              <w:left w:val="single" w:sz="12" w:space="0" w:color="auto"/>
            </w:tcBorders>
          </w:tcPr>
          <w:p w14:paraId="4714092C" w14:textId="77777777" w:rsidR="003B3105" w:rsidRDefault="003B3105" w:rsidP="001E533B">
            <w:pPr>
              <w:rPr>
                <w:rFonts w:ascii="新細明體" w:eastAsia="新細明體" w:hAnsi="新細明體"/>
              </w:rPr>
            </w:pPr>
          </w:p>
        </w:tc>
        <w:tc>
          <w:tcPr>
            <w:tcW w:w="1276" w:type="dxa"/>
            <w:vMerge/>
          </w:tcPr>
          <w:p w14:paraId="66B0C79B" w14:textId="77777777" w:rsidR="003B3105" w:rsidRDefault="003B3105" w:rsidP="001E533B">
            <w:pPr>
              <w:rPr>
                <w:rFonts w:ascii="新細明體" w:eastAsia="新細明體" w:hAnsi="新細明體"/>
              </w:rPr>
            </w:pPr>
          </w:p>
        </w:tc>
        <w:tc>
          <w:tcPr>
            <w:tcW w:w="5386" w:type="dxa"/>
            <w:tcBorders>
              <w:top w:val="nil"/>
              <w:bottom w:val="nil"/>
            </w:tcBorders>
          </w:tcPr>
          <w:p w14:paraId="26E6715B"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內部稽核職能可複核用以辨認、認列、衡量、分類及報導財務與營運資訊之方法（包含對交易、餘額及流程之測試），以及對個別項目執行特定查詢。</w:t>
            </w:r>
          </w:p>
        </w:tc>
        <w:tc>
          <w:tcPr>
            <w:tcW w:w="5387" w:type="dxa"/>
            <w:tcBorders>
              <w:top w:val="nil"/>
              <w:bottom w:val="nil"/>
            </w:tcBorders>
          </w:tcPr>
          <w:p w14:paraId="7197870C"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內部稽核職能可複核用以辨認、認列、衡量、分類及報導財務與營運資訊之方法（包含對交易、餘額及流程之測試），以及對個別項目執行特定查詢。</w:t>
            </w:r>
          </w:p>
        </w:tc>
        <w:tc>
          <w:tcPr>
            <w:tcW w:w="2023" w:type="dxa"/>
            <w:vMerge/>
            <w:tcBorders>
              <w:right w:val="single" w:sz="12" w:space="0" w:color="auto"/>
            </w:tcBorders>
          </w:tcPr>
          <w:p w14:paraId="5D24D3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DE71C1" w14:textId="77777777">
        <w:tc>
          <w:tcPr>
            <w:tcW w:w="1384" w:type="dxa"/>
            <w:vMerge/>
            <w:tcBorders>
              <w:left w:val="single" w:sz="12" w:space="0" w:color="auto"/>
            </w:tcBorders>
          </w:tcPr>
          <w:p w14:paraId="651CB563" w14:textId="77777777" w:rsidR="003B3105" w:rsidRDefault="003B3105" w:rsidP="001E533B">
            <w:pPr>
              <w:rPr>
                <w:rFonts w:ascii="新細明體" w:eastAsia="新細明體" w:hAnsi="新細明體"/>
              </w:rPr>
            </w:pPr>
          </w:p>
        </w:tc>
        <w:tc>
          <w:tcPr>
            <w:tcW w:w="1276" w:type="dxa"/>
            <w:vMerge/>
          </w:tcPr>
          <w:p w14:paraId="19677574" w14:textId="77777777" w:rsidR="003B3105" w:rsidRDefault="003B3105" w:rsidP="001E533B">
            <w:pPr>
              <w:rPr>
                <w:rFonts w:ascii="新細明體" w:eastAsia="新細明體" w:hAnsi="新細明體"/>
              </w:rPr>
            </w:pPr>
          </w:p>
        </w:tc>
        <w:tc>
          <w:tcPr>
            <w:tcW w:w="5386" w:type="dxa"/>
            <w:tcBorders>
              <w:top w:val="nil"/>
              <w:bottom w:val="nil"/>
            </w:tcBorders>
          </w:tcPr>
          <w:p w14:paraId="3111987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3.營運活動之複核：</w:t>
            </w:r>
          </w:p>
        </w:tc>
        <w:tc>
          <w:tcPr>
            <w:tcW w:w="5387" w:type="dxa"/>
            <w:tcBorders>
              <w:top w:val="nil"/>
              <w:bottom w:val="nil"/>
            </w:tcBorders>
          </w:tcPr>
          <w:p w14:paraId="0B13D9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3.營運活動之複核：</w:t>
            </w:r>
          </w:p>
        </w:tc>
        <w:tc>
          <w:tcPr>
            <w:tcW w:w="2023" w:type="dxa"/>
            <w:vMerge/>
            <w:tcBorders>
              <w:right w:val="single" w:sz="12" w:space="0" w:color="auto"/>
            </w:tcBorders>
          </w:tcPr>
          <w:p w14:paraId="1398CC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E68795" w14:textId="77777777">
        <w:tc>
          <w:tcPr>
            <w:tcW w:w="1384" w:type="dxa"/>
            <w:vMerge/>
            <w:tcBorders>
              <w:left w:val="single" w:sz="12" w:space="0" w:color="auto"/>
            </w:tcBorders>
          </w:tcPr>
          <w:p w14:paraId="5BBEDFEA" w14:textId="77777777" w:rsidR="003B3105" w:rsidRDefault="003B3105" w:rsidP="001E533B">
            <w:pPr>
              <w:rPr>
                <w:rFonts w:ascii="新細明體" w:eastAsia="新細明體" w:hAnsi="新細明體"/>
              </w:rPr>
            </w:pPr>
          </w:p>
        </w:tc>
        <w:tc>
          <w:tcPr>
            <w:tcW w:w="1276" w:type="dxa"/>
            <w:vMerge/>
          </w:tcPr>
          <w:p w14:paraId="44A0F5F0" w14:textId="77777777" w:rsidR="003B3105" w:rsidRDefault="003B3105" w:rsidP="001E533B">
            <w:pPr>
              <w:rPr>
                <w:rFonts w:ascii="新細明體" w:eastAsia="新細明體" w:hAnsi="新細明體"/>
              </w:rPr>
            </w:pPr>
          </w:p>
        </w:tc>
        <w:tc>
          <w:tcPr>
            <w:tcW w:w="5386" w:type="dxa"/>
            <w:tcBorders>
              <w:top w:val="nil"/>
              <w:bottom w:val="nil"/>
            </w:tcBorders>
          </w:tcPr>
          <w:p w14:paraId="6E07E189"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內部稽核職能可複核營運活動（包含企業之非財務活動）之效率與效果。</w:t>
            </w:r>
          </w:p>
        </w:tc>
        <w:tc>
          <w:tcPr>
            <w:tcW w:w="5387" w:type="dxa"/>
            <w:tcBorders>
              <w:top w:val="nil"/>
              <w:bottom w:val="nil"/>
            </w:tcBorders>
          </w:tcPr>
          <w:p w14:paraId="3F642D72"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內部稽核職能可複核營運活動（包含企業之非財務活動）之效率與效果。</w:t>
            </w:r>
          </w:p>
        </w:tc>
        <w:tc>
          <w:tcPr>
            <w:tcW w:w="2023" w:type="dxa"/>
            <w:vMerge/>
            <w:tcBorders>
              <w:right w:val="single" w:sz="12" w:space="0" w:color="auto"/>
            </w:tcBorders>
          </w:tcPr>
          <w:p w14:paraId="01303E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C60878" w14:textId="77777777">
        <w:tc>
          <w:tcPr>
            <w:tcW w:w="1384" w:type="dxa"/>
            <w:vMerge/>
            <w:tcBorders>
              <w:left w:val="single" w:sz="12" w:space="0" w:color="auto"/>
            </w:tcBorders>
          </w:tcPr>
          <w:p w14:paraId="50EC26B0" w14:textId="77777777" w:rsidR="003B3105" w:rsidRDefault="003B3105" w:rsidP="001E533B">
            <w:pPr>
              <w:rPr>
                <w:rFonts w:ascii="新細明體" w:eastAsia="新細明體" w:hAnsi="新細明體"/>
              </w:rPr>
            </w:pPr>
          </w:p>
        </w:tc>
        <w:tc>
          <w:tcPr>
            <w:tcW w:w="1276" w:type="dxa"/>
            <w:vMerge/>
          </w:tcPr>
          <w:p w14:paraId="0E94FED3" w14:textId="77777777" w:rsidR="003B3105" w:rsidRDefault="003B3105" w:rsidP="001E533B">
            <w:pPr>
              <w:rPr>
                <w:rFonts w:ascii="新細明體" w:eastAsia="新細明體" w:hAnsi="新細明體"/>
              </w:rPr>
            </w:pPr>
          </w:p>
        </w:tc>
        <w:tc>
          <w:tcPr>
            <w:tcW w:w="5386" w:type="dxa"/>
            <w:tcBorders>
              <w:top w:val="nil"/>
              <w:bottom w:val="nil"/>
            </w:tcBorders>
          </w:tcPr>
          <w:p w14:paraId="0500AE6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4.法令遵循之複核：</w:t>
            </w:r>
          </w:p>
        </w:tc>
        <w:tc>
          <w:tcPr>
            <w:tcW w:w="5387" w:type="dxa"/>
            <w:tcBorders>
              <w:top w:val="nil"/>
              <w:bottom w:val="nil"/>
            </w:tcBorders>
          </w:tcPr>
          <w:p w14:paraId="062EB5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4.法令遵循之複核：</w:t>
            </w:r>
          </w:p>
        </w:tc>
        <w:tc>
          <w:tcPr>
            <w:tcW w:w="2023" w:type="dxa"/>
            <w:vMerge/>
            <w:tcBorders>
              <w:right w:val="single" w:sz="12" w:space="0" w:color="auto"/>
            </w:tcBorders>
          </w:tcPr>
          <w:p w14:paraId="48EC35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E76DFD" w14:textId="77777777">
        <w:tc>
          <w:tcPr>
            <w:tcW w:w="1384" w:type="dxa"/>
            <w:vMerge/>
            <w:tcBorders>
              <w:left w:val="single" w:sz="12" w:space="0" w:color="auto"/>
            </w:tcBorders>
          </w:tcPr>
          <w:p w14:paraId="503FA53B" w14:textId="77777777" w:rsidR="003B3105" w:rsidRDefault="003B3105" w:rsidP="001E533B">
            <w:pPr>
              <w:rPr>
                <w:rFonts w:ascii="新細明體" w:eastAsia="新細明體" w:hAnsi="新細明體"/>
              </w:rPr>
            </w:pPr>
          </w:p>
        </w:tc>
        <w:tc>
          <w:tcPr>
            <w:tcW w:w="1276" w:type="dxa"/>
            <w:vMerge/>
          </w:tcPr>
          <w:p w14:paraId="34B2A6C5" w14:textId="77777777" w:rsidR="003B3105" w:rsidRDefault="003B3105" w:rsidP="001E533B">
            <w:pPr>
              <w:rPr>
                <w:rFonts w:ascii="新細明體" w:eastAsia="新細明體" w:hAnsi="新細明體"/>
              </w:rPr>
            </w:pPr>
          </w:p>
        </w:tc>
        <w:tc>
          <w:tcPr>
            <w:tcW w:w="5386" w:type="dxa"/>
            <w:tcBorders>
              <w:top w:val="nil"/>
              <w:bottom w:val="nil"/>
            </w:tcBorders>
          </w:tcPr>
          <w:p w14:paraId="44B4A158"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內部稽核職能可複核法令及其他外部規定之遵循，以及管理階層訂定之政策及程序與其他內部規定之遵循。</w:t>
            </w:r>
          </w:p>
        </w:tc>
        <w:tc>
          <w:tcPr>
            <w:tcW w:w="5387" w:type="dxa"/>
            <w:tcBorders>
              <w:top w:val="nil"/>
              <w:bottom w:val="nil"/>
            </w:tcBorders>
          </w:tcPr>
          <w:p w14:paraId="609E7546"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內部稽核職能可複核法令及其他外部規定之遵循，以及管理階層訂定之政策及程序與其他內部規定之遵循。</w:t>
            </w:r>
          </w:p>
        </w:tc>
        <w:tc>
          <w:tcPr>
            <w:tcW w:w="2023" w:type="dxa"/>
            <w:vMerge/>
            <w:tcBorders>
              <w:right w:val="single" w:sz="12" w:space="0" w:color="auto"/>
            </w:tcBorders>
          </w:tcPr>
          <w:p w14:paraId="3A05E3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8927EB" w14:textId="77777777">
        <w:tc>
          <w:tcPr>
            <w:tcW w:w="1384" w:type="dxa"/>
            <w:vMerge/>
            <w:tcBorders>
              <w:left w:val="single" w:sz="12" w:space="0" w:color="auto"/>
            </w:tcBorders>
          </w:tcPr>
          <w:p w14:paraId="5F734632" w14:textId="77777777" w:rsidR="003B3105" w:rsidRDefault="003B3105" w:rsidP="001E533B">
            <w:pPr>
              <w:rPr>
                <w:rFonts w:ascii="新細明體" w:eastAsia="新細明體" w:hAnsi="新細明體"/>
              </w:rPr>
            </w:pPr>
          </w:p>
        </w:tc>
        <w:tc>
          <w:tcPr>
            <w:tcW w:w="1276" w:type="dxa"/>
            <w:vMerge/>
          </w:tcPr>
          <w:p w14:paraId="6458CA59" w14:textId="77777777" w:rsidR="003B3105" w:rsidRDefault="003B3105" w:rsidP="001E533B">
            <w:pPr>
              <w:rPr>
                <w:rFonts w:ascii="新細明體" w:eastAsia="新細明體" w:hAnsi="新細明體"/>
              </w:rPr>
            </w:pPr>
          </w:p>
        </w:tc>
        <w:tc>
          <w:tcPr>
            <w:tcW w:w="5386" w:type="dxa"/>
            <w:tcBorders>
              <w:top w:val="nil"/>
              <w:bottom w:val="nil"/>
            </w:tcBorders>
          </w:tcPr>
          <w:p w14:paraId="3D579E8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十三、稽核人員之職責：</w:t>
            </w:r>
          </w:p>
        </w:tc>
        <w:tc>
          <w:tcPr>
            <w:tcW w:w="5387" w:type="dxa"/>
            <w:tcBorders>
              <w:top w:val="nil"/>
              <w:bottom w:val="nil"/>
            </w:tcBorders>
          </w:tcPr>
          <w:p w14:paraId="6569BE5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十三、稽核人員之職責：</w:t>
            </w:r>
          </w:p>
        </w:tc>
        <w:tc>
          <w:tcPr>
            <w:tcW w:w="2023" w:type="dxa"/>
            <w:vMerge/>
            <w:tcBorders>
              <w:right w:val="single" w:sz="12" w:space="0" w:color="auto"/>
            </w:tcBorders>
          </w:tcPr>
          <w:p w14:paraId="24B70D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399E9A" w14:textId="77777777">
        <w:tc>
          <w:tcPr>
            <w:tcW w:w="1384" w:type="dxa"/>
            <w:vMerge/>
            <w:tcBorders>
              <w:left w:val="single" w:sz="12" w:space="0" w:color="auto"/>
            </w:tcBorders>
          </w:tcPr>
          <w:p w14:paraId="31CD2881" w14:textId="77777777" w:rsidR="003B3105" w:rsidRDefault="003B3105" w:rsidP="001E533B">
            <w:pPr>
              <w:rPr>
                <w:rFonts w:ascii="新細明體" w:eastAsia="新細明體" w:hAnsi="新細明體"/>
              </w:rPr>
            </w:pPr>
          </w:p>
        </w:tc>
        <w:tc>
          <w:tcPr>
            <w:tcW w:w="1276" w:type="dxa"/>
            <w:vMerge/>
          </w:tcPr>
          <w:p w14:paraId="2697B74E" w14:textId="77777777" w:rsidR="003B3105" w:rsidRDefault="003B3105" w:rsidP="001E533B">
            <w:pPr>
              <w:rPr>
                <w:rFonts w:ascii="新細明體" w:eastAsia="新細明體" w:hAnsi="新細明體"/>
              </w:rPr>
            </w:pPr>
          </w:p>
        </w:tc>
        <w:tc>
          <w:tcPr>
            <w:tcW w:w="5386" w:type="dxa"/>
            <w:tcBorders>
              <w:top w:val="nil"/>
              <w:bottom w:val="nil"/>
            </w:tcBorders>
          </w:tcPr>
          <w:p w14:paraId="255FE80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(一)稽核人員秉承董事會指揮監督，執行公司內部稽核工作。</w:t>
            </w:r>
          </w:p>
        </w:tc>
        <w:tc>
          <w:tcPr>
            <w:tcW w:w="5387" w:type="dxa"/>
            <w:tcBorders>
              <w:top w:val="nil"/>
              <w:bottom w:val="nil"/>
            </w:tcBorders>
          </w:tcPr>
          <w:p w14:paraId="6B5533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(一)稽核人員秉承董事會指揮監督，執行公司內部稽核工作。</w:t>
            </w:r>
          </w:p>
        </w:tc>
        <w:tc>
          <w:tcPr>
            <w:tcW w:w="2023" w:type="dxa"/>
            <w:vMerge/>
            <w:tcBorders>
              <w:right w:val="single" w:sz="12" w:space="0" w:color="auto"/>
            </w:tcBorders>
          </w:tcPr>
          <w:p w14:paraId="3E9EEE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068D74" w14:textId="77777777">
        <w:tc>
          <w:tcPr>
            <w:tcW w:w="1384" w:type="dxa"/>
            <w:vMerge/>
            <w:tcBorders>
              <w:left w:val="single" w:sz="12" w:space="0" w:color="auto"/>
            </w:tcBorders>
          </w:tcPr>
          <w:p w14:paraId="278660E6" w14:textId="77777777" w:rsidR="003B3105" w:rsidRDefault="003B3105" w:rsidP="001E533B">
            <w:pPr>
              <w:rPr>
                <w:rFonts w:ascii="新細明體" w:eastAsia="新細明體" w:hAnsi="新細明體"/>
              </w:rPr>
            </w:pPr>
          </w:p>
        </w:tc>
        <w:tc>
          <w:tcPr>
            <w:tcW w:w="1276" w:type="dxa"/>
            <w:vMerge/>
          </w:tcPr>
          <w:p w14:paraId="69402135" w14:textId="77777777" w:rsidR="003B3105" w:rsidRDefault="003B3105" w:rsidP="001E533B">
            <w:pPr>
              <w:rPr>
                <w:rFonts w:ascii="新細明體" w:eastAsia="新細明體" w:hAnsi="新細明體"/>
              </w:rPr>
            </w:pPr>
          </w:p>
        </w:tc>
        <w:tc>
          <w:tcPr>
            <w:tcW w:w="5386" w:type="dxa"/>
            <w:tcBorders>
              <w:top w:val="nil"/>
              <w:bottom w:val="nil"/>
            </w:tcBorders>
          </w:tcPr>
          <w:p w14:paraId="5C46DD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(二)稽核人員執行工作遇有疑問時，應於獲得解釋及澈底瞭解後，方得提出處理意見。</w:t>
            </w:r>
          </w:p>
        </w:tc>
        <w:tc>
          <w:tcPr>
            <w:tcW w:w="5387" w:type="dxa"/>
            <w:tcBorders>
              <w:top w:val="nil"/>
              <w:bottom w:val="nil"/>
            </w:tcBorders>
          </w:tcPr>
          <w:p w14:paraId="25A48D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(二)稽核人員執行工作遇有疑問時，應於獲得解釋及澈底瞭解後，方得提出處理意見。</w:t>
            </w:r>
          </w:p>
        </w:tc>
        <w:tc>
          <w:tcPr>
            <w:tcW w:w="2023" w:type="dxa"/>
            <w:vMerge/>
            <w:tcBorders>
              <w:right w:val="single" w:sz="12" w:space="0" w:color="auto"/>
            </w:tcBorders>
          </w:tcPr>
          <w:p w14:paraId="34E06EC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7F52EF" w14:textId="77777777">
        <w:tc>
          <w:tcPr>
            <w:tcW w:w="1384" w:type="dxa"/>
            <w:vMerge/>
            <w:tcBorders>
              <w:left w:val="single" w:sz="12" w:space="0" w:color="auto"/>
            </w:tcBorders>
          </w:tcPr>
          <w:p w14:paraId="136D67B8" w14:textId="77777777" w:rsidR="003B3105" w:rsidRDefault="003B3105" w:rsidP="001E533B">
            <w:pPr>
              <w:rPr>
                <w:rFonts w:ascii="新細明體" w:eastAsia="新細明體" w:hAnsi="新細明體"/>
              </w:rPr>
            </w:pPr>
          </w:p>
        </w:tc>
        <w:tc>
          <w:tcPr>
            <w:tcW w:w="1276" w:type="dxa"/>
            <w:vMerge/>
          </w:tcPr>
          <w:p w14:paraId="6730C9BE" w14:textId="77777777" w:rsidR="003B3105" w:rsidRDefault="003B3105" w:rsidP="001E533B">
            <w:pPr>
              <w:rPr>
                <w:rFonts w:ascii="新細明體" w:eastAsia="新細明體" w:hAnsi="新細明體"/>
              </w:rPr>
            </w:pPr>
          </w:p>
        </w:tc>
        <w:tc>
          <w:tcPr>
            <w:tcW w:w="5386" w:type="dxa"/>
            <w:tcBorders>
              <w:top w:val="nil"/>
              <w:bottom w:val="nil"/>
            </w:tcBorders>
          </w:tcPr>
          <w:p w14:paraId="55B87E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(三)稽核人員執行工作時，如發現員工有不當情事，除與其直屬主管連繫外，應即向公司最高主管報告，不得直接處理。</w:t>
            </w:r>
          </w:p>
        </w:tc>
        <w:tc>
          <w:tcPr>
            <w:tcW w:w="5387" w:type="dxa"/>
            <w:tcBorders>
              <w:top w:val="nil"/>
              <w:bottom w:val="nil"/>
            </w:tcBorders>
          </w:tcPr>
          <w:p w14:paraId="21D228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(三)稽核人員執行工作時，如發現員工有不當情事，除與其直屬主管連繫外，應即向公司最高主管報告，不得直接處理。</w:t>
            </w:r>
          </w:p>
        </w:tc>
        <w:tc>
          <w:tcPr>
            <w:tcW w:w="2023" w:type="dxa"/>
            <w:vMerge/>
            <w:tcBorders>
              <w:right w:val="single" w:sz="12" w:space="0" w:color="auto"/>
            </w:tcBorders>
          </w:tcPr>
          <w:p w14:paraId="166CE4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003379" w14:textId="77777777">
        <w:tc>
          <w:tcPr>
            <w:tcW w:w="1384" w:type="dxa"/>
            <w:vMerge/>
            <w:tcBorders>
              <w:left w:val="single" w:sz="12" w:space="0" w:color="auto"/>
            </w:tcBorders>
          </w:tcPr>
          <w:p w14:paraId="319D896B" w14:textId="77777777" w:rsidR="003B3105" w:rsidRDefault="003B3105" w:rsidP="001E533B">
            <w:pPr>
              <w:rPr>
                <w:rFonts w:ascii="新細明體" w:eastAsia="新細明體" w:hAnsi="新細明體"/>
              </w:rPr>
            </w:pPr>
          </w:p>
        </w:tc>
        <w:tc>
          <w:tcPr>
            <w:tcW w:w="1276" w:type="dxa"/>
            <w:vMerge/>
          </w:tcPr>
          <w:p w14:paraId="03ADAB9C" w14:textId="77777777" w:rsidR="003B3105" w:rsidRDefault="003B3105" w:rsidP="001E533B">
            <w:pPr>
              <w:rPr>
                <w:rFonts w:ascii="新細明體" w:eastAsia="新細明體" w:hAnsi="新細明體"/>
              </w:rPr>
            </w:pPr>
          </w:p>
        </w:tc>
        <w:tc>
          <w:tcPr>
            <w:tcW w:w="5386" w:type="dxa"/>
            <w:tcBorders>
              <w:top w:val="nil"/>
              <w:bottom w:val="nil"/>
            </w:tcBorders>
          </w:tcPr>
          <w:p w14:paraId="389D3C1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(四)稽核人員執行工作時，得調閱一切檔案，受查單位不得拒絕或隱匿，如屬機密性之檔案，應先報准後始得調閱。</w:t>
            </w:r>
          </w:p>
        </w:tc>
        <w:tc>
          <w:tcPr>
            <w:tcW w:w="5387" w:type="dxa"/>
            <w:tcBorders>
              <w:top w:val="nil"/>
              <w:bottom w:val="nil"/>
            </w:tcBorders>
          </w:tcPr>
          <w:p w14:paraId="03161B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(四)稽核人員執行工作時，得調閱一切檔案，受查單位不得拒絕或隱匿，如屬機密性之檔案，應先報准後始得調閱。</w:t>
            </w:r>
          </w:p>
        </w:tc>
        <w:tc>
          <w:tcPr>
            <w:tcW w:w="2023" w:type="dxa"/>
            <w:vMerge/>
            <w:tcBorders>
              <w:right w:val="single" w:sz="12" w:space="0" w:color="auto"/>
            </w:tcBorders>
          </w:tcPr>
          <w:p w14:paraId="0219FC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6A9A85" w14:textId="77777777">
        <w:tc>
          <w:tcPr>
            <w:tcW w:w="1384" w:type="dxa"/>
            <w:vMerge/>
            <w:tcBorders>
              <w:left w:val="single" w:sz="12" w:space="0" w:color="auto"/>
            </w:tcBorders>
          </w:tcPr>
          <w:p w14:paraId="34C38EA2" w14:textId="77777777" w:rsidR="003B3105" w:rsidRDefault="003B3105" w:rsidP="001E533B">
            <w:pPr>
              <w:rPr>
                <w:rFonts w:ascii="新細明體" w:eastAsia="新細明體" w:hAnsi="新細明體"/>
              </w:rPr>
            </w:pPr>
          </w:p>
        </w:tc>
        <w:tc>
          <w:tcPr>
            <w:tcW w:w="1276" w:type="dxa"/>
            <w:vMerge/>
          </w:tcPr>
          <w:p w14:paraId="4D439B57" w14:textId="77777777" w:rsidR="003B3105" w:rsidRDefault="003B3105" w:rsidP="001E533B">
            <w:pPr>
              <w:rPr>
                <w:rFonts w:ascii="新細明體" w:eastAsia="新細明體" w:hAnsi="新細明體"/>
              </w:rPr>
            </w:pPr>
          </w:p>
        </w:tc>
        <w:tc>
          <w:tcPr>
            <w:tcW w:w="5386" w:type="dxa"/>
            <w:tcBorders>
              <w:top w:val="nil"/>
              <w:bottom w:val="nil"/>
            </w:tcBorders>
          </w:tcPr>
          <w:p w14:paraId="35AB452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(五)稽核人員應訂定查核週期定期加以稽核，並於每次查核完畢，作成稽核報告，檢附相關附件，呈報所見缺失及改進建議等，並繼續追蹤改進情形。</w:t>
            </w:r>
          </w:p>
        </w:tc>
        <w:tc>
          <w:tcPr>
            <w:tcW w:w="5387" w:type="dxa"/>
            <w:tcBorders>
              <w:top w:val="nil"/>
              <w:bottom w:val="nil"/>
            </w:tcBorders>
          </w:tcPr>
          <w:p w14:paraId="0689B0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(五)稽核人員應訂定查核週期定期加以稽核，並於每次查核完畢，作成稽核報告，檢附相關附件，呈報所見缺失及改進建議等，並繼續追蹤改進情形。</w:t>
            </w:r>
          </w:p>
        </w:tc>
        <w:tc>
          <w:tcPr>
            <w:tcW w:w="2023" w:type="dxa"/>
            <w:vMerge/>
            <w:tcBorders>
              <w:right w:val="single" w:sz="12" w:space="0" w:color="auto"/>
            </w:tcBorders>
          </w:tcPr>
          <w:p w14:paraId="6B4EBB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F2D770" w14:textId="77777777">
        <w:tc>
          <w:tcPr>
            <w:tcW w:w="1384" w:type="dxa"/>
            <w:vMerge/>
            <w:tcBorders>
              <w:left w:val="single" w:sz="12" w:space="0" w:color="auto"/>
            </w:tcBorders>
          </w:tcPr>
          <w:p w14:paraId="02B6AE2C" w14:textId="77777777" w:rsidR="003B3105" w:rsidRDefault="003B3105" w:rsidP="001E533B">
            <w:pPr>
              <w:rPr>
                <w:rFonts w:ascii="新細明體" w:eastAsia="新細明體" w:hAnsi="新細明體"/>
              </w:rPr>
            </w:pPr>
          </w:p>
        </w:tc>
        <w:tc>
          <w:tcPr>
            <w:tcW w:w="1276" w:type="dxa"/>
            <w:vMerge/>
          </w:tcPr>
          <w:p w14:paraId="354476E5" w14:textId="77777777" w:rsidR="003B3105" w:rsidRDefault="003B3105" w:rsidP="001E533B">
            <w:pPr>
              <w:rPr>
                <w:rFonts w:ascii="新細明體" w:eastAsia="新細明體" w:hAnsi="新細明體"/>
              </w:rPr>
            </w:pPr>
          </w:p>
        </w:tc>
        <w:tc>
          <w:tcPr>
            <w:tcW w:w="5386" w:type="dxa"/>
            <w:tcBorders>
              <w:top w:val="nil"/>
              <w:bottom w:val="nil"/>
            </w:tcBorders>
          </w:tcPr>
          <w:p w14:paraId="1E920FC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報告應依規定格式填寫，包括查核日期、查核項目、查核經過內容(所見事實、違反何種規章、所採措施如何)及改進建議等，且裝訂成冊並於封面註明起迄時間，妥為保管；其中稽核報告（含查核明細表）、工作底稿及相關資料至少應保存五年。但對事實未發生之查核項目得於稽核報告上註明即可，毋庸檢附相關查核明細表及工作底稿。另有關內部稽核工作執行情形尚應依規定按期申報相關單位備查。</w:t>
            </w:r>
          </w:p>
        </w:tc>
        <w:tc>
          <w:tcPr>
            <w:tcW w:w="5387" w:type="dxa"/>
            <w:tcBorders>
              <w:top w:val="nil"/>
              <w:bottom w:val="nil"/>
            </w:tcBorders>
          </w:tcPr>
          <w:p w14:paraId="647414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報告應依規定格式填寫，包括查核日期、查核項目、查核經過內容(所見事實、違反何種規章、所採措施如何)及改進建議等，且裝訂成冊並於封面註明起迄時間，妥為保管；其中稽核報告（含查核明細表）、工作底稿及相關資料至少應保存五年。但對事實未發生之查核項目得於稽核報告上註明即可，毋庸檢附相關查核明細表及工作底稿。另有關內部稽核工作執行情形尚應依規定按期申報相關單位備查。</w:t>
            </w:r>
          </w:p>
        </w:tc>
        <w:tc>
          <w:tcPr>
            <w:tcW w:w="2023" w:type="dxa"/>
            <w:vMerge/>
            <w:tcBorders>
              <w:right w:val="single" w:sz="12" w:space="0" w:color="auto"/>
            </w:tcBorders>
          </w:tcPr>
          <w:p w14:paraId="54543E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5EA7F4" w14:textId="77777777">
        <w:tc>
          <w:tcPr>
            <w:tcW w:w="1384" w:type="dxa"/>
            <w:vMerge/>
            <w:tcBorders>
              <w:left w:val="single" w:sz="12" w:space="0" w:color="auto"/>
            </w:tcBorders>
          </w:tcPr>
          <w:p w14:paraId="053FCBB1" w14:textId="77777777" w:rsidR="003B3105" w:rsidRDefault="003B3105" w:rsidP="001E533B">
            <w:pPr>
              <w:rPr>
                <w:rFonts w:ascii="新細明體" w:eastAsia="新細明體" w:hAnsi="新細明體"/>
              </w:rPr>
            </w:pPr>
          </w:p>
        </w:tc>
        <w:tc>
          <w:tcPr>
            <w:tcW w:w="1276" w:type="dxa"/>
            <w:vMerge/>
          </w:tcPr>
          <w:p w14:paraId="7B75FD45" w14:textId="77777777" w:rsidR="003B3105" w:rsidRDefault="003B3105" w:rsidP="001E533B">
            <w:pPr>
              <w:rPr>
                <w:rFonts w:ascii="新細明體" w:eastAsia="新細明體" w:hAnsi="新細明體"/>
              </w:rPr>
            </w:pPr>
          </w:p>
        </w:tc>
        <w:tc>
          <w:tcPr>
            <w:tcW w:w="5386" w:type="dxa"/>
            <w:tcBorders>
              <w:top w:val="nil"/>
              <w:bottom w:val="nil"/>
            </w:tcBorders>
          </w:tcPr>
          <w:p w14:paraId="788234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公司</w:t>
            </w:r>
            <w:r>
              <w:rPr>
                <w:rFonts w:ascii="新細明體" w:eastAsia="新細明體" w:hAnsi="新細明體" w:cs="新細明體" w:hint="eastAsia"/>
                <w:b/>
                <w:color w:val="FF0000"/>
                <w:u w:val="single"/>
              </w:rPr>
              <w:t>、分支機構及簡易分支機構</w:t>
            </w:r>
            <w:r>
              <w:rPr>
                <w:rFonts w:ascii="新細明體" w:eastAsia="新細明體" w:hAnsi="新細明體" w:cs="新細明體" w:hint="eastAsia"/>
              </w:rPr>
              <w:t>間應建立異常事項即時通報機制，以確保分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異常事項能即時通報總公司稽核主管。且公司應將內部控制制度缺失、異常事項及改善情形，列為各部門績效考核之重要項目。</w:t>
            </w:r>
          </w:p>
        </w:tc>
        <w:tc>
          <w:tcPr>
            <w:tcW w:w="5387" w:type="dxa"/>
            <w:tcBorders>
              <w:top w:val="nil"/>
              <w:bottom w:val="nil"/>
            </w:tcBorders>
          </w:tcPr>
          <w:p w14:paraId="36199D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w:t>
            </w:r>
            <w:r>
              <w:rPr>
                <w:rFonts w:ascii="新細明體" w:eastAsia="新細明體" w:hAnsi="新細明體" w:cs="新細明體" w:hint="eastAsia"/>
                <w:b/>
                <w:color w:val="FF0000"/>
              </w:rPr>
              <w:t>分</w:t>
            </w:r>
            <w:r>
              <w:rPr>
                <w:rFonts w:ascii="新細明體" w:eastAsia="新細明體" w:hAnsi="新細明體" w:cs="新細明體" w:hint="eastAsia"/>
              </w:rPr>
              <w:t>公司間應建立異常事項即時通報機制，以確保分</w:t>
            </w:r>
            <w:r>
              <w:rPr>
                <w:rFonts w:ascii="新細明體" w:eastAsia="新細明體" w:hAnsi="新細明體" w:cs="新細明體" w:hint="eastAsia"/>
                <w:b/>
                <w:color w:val="FF0000"/>
              </w:rPr>
              <w:t>公司</w:t>
            </w:r>
            <w:r>
              <w:rPr>
                <w:rFonts w:ascii="新細明體" w:eastAsia="新細明體" w:hAnsi="新細明體" w:cs="新細明體" w:hint="eastAsia"/>
              </w:rPr>
              <w:t>異常事項能即時通報總公司稽核主管。且公司應將內部控制制度缺失、異常事項及改善情形，列為各部門績效考核之重要項目。</w:t>
            </w:r>
          </w:p>
        </w:tc>
        <w:tc>
          <w:tcPr>
            <w:tcW w:w="2023" w:type="dxa"/>
            <w:vMerge/>
            <w:tcBorders>
              <w:right w:val="single" w:sz="12" w:space="0" w:color="auto"/>
            </w:tcBorders>
          </w:tcPr>
          <w:p w14:paraId="0FC41B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C665B7" w14:textId="77777777">
        <w:tc>
          <w:tcPr>
            <w:tcW w:w="1384" w:type="dxa"/>
            <w:vMerge/>
            <w:tcBorders>
              <w:left w:val="single" w:sz="12" w:space="0" w:color="auto"/>
            </w:tcBorders>
          </w:tcPr>
          <w:p w14:paraId="575E21EB" w14:textId="77777777" w:rsidR="003B3105" w:rsidRDefault="003B3105" w:rsidP="001E533B">
            <w:pPr>
              <w:rPr>
                <w:rFonts w:ascii="新細明體" w:eastAsia="新細明體" w:hAnsi="新細明體"/>
              </w:rPr>
            </w:pPr>
          </w:p>
        </w:tc>
        <w:tc>
          <w:tcPr>
            <w:tcW w:w="1276" w:type="dxa"/>
            <w:vMerge/>
          </w:tcPr>
          <w:p w14:paraId="51480BF6" w14:textId="77777777" w:rsidR="003B3105" w:rsidRDefault="003B3105" w:rsidP="001E533B">
            <w:pPr>
              <w:rPr>
                <w:rFonts w:ascii="新細明體" w:eastAsia="新細明體" w:hAnsi="新細明體"/>
              </w:rPr>
            </w:pPr>
          </w:p>
        </w:tc>
        <w:tc>
          <w:tcPr>
            <w:tcW w:w="5386" w:type="dxa"/>
            <w:tcBorders>
              <w:top w:val="nil"/>
              <w:bottom w:val="nil"/>
            </w:tcBorders>
          </w:tcPr>
          <w:p w14:paraId="53FFC3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報告及追蹤報告陳核後，應於稽核項目完成之次月底前交付各監察人查閱。內部稽核人員如發現重大違規情事或公司有受重大損失之虞等重大事件時，應立即作成報告陳核，並通知各監察人。如對前揭缺失事項所提改進建議不為管理階層採納，將肇致公司重大損失者，亦應作成報告陳核及通知各監察人，並通報主管機關。設有獨立董事者，應一併交付或通知獨立董事。</w:t>
            </w:r>
          </w:p>
        </w:tc>
        <w:tc>
          <w:tcPr>
            <w:tcW w:w="5387" w:type="dxa"/>
            <w:tcBorders>
              <w:top w:val="nil"/>
              <w:bottom w:val="nil"/>
            </w:tcBorders>
          </w:tcPr>
          <w:p w14:paraId="15EF2A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報告及追蹤報告陳核後，應於稽核項目完成之次月底前交付各監察人查閱。內部稽核人員如發現重大違規情事或公司有受重大損失之虞等重大事件時，應立即作成報告陳核，並通知各監察人。如對前揭缺失事項所提改進建議不為管理階層採納，將肇致公司重大損失者，亦應作成報告陳核及通知各監察人，並通報主管機關。設有獨立董事者，應一併交付或通知獨立董事。</w:t>
            </w:r>
          </w:p>
        </w:tc>
        <w:tc>
          <w:tcPr>
            <w:tcW w:w="2023" w:type="dxa"/>
            <w:vMerge/>
            <w:tcBorders>
              <w:right w:val="single" w:sz="12" w:space="0" w:color="auto"/>
            </w:tcBorders>
          </w:tcPr>
          <w:p w14:paraId="13404C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B9F2CE" w14:textId="77777777">
        <w:tc>
          <w:tcPr>
            <w:tcW w:w="1384" w:type="dxa"/>
            <w:vMerge/>
            <w:tcBorders>
              <w:left w:val="single" w:sz="12" w:space="0" w:color="auto"/>
            </w:tcBorders>
          </w:tcPr>
          <w:p w14:paraId="6A38EDCD" w14:textId="77777777" w:rsidR="003B3105" w:rsidRDefault="003B3105" w:rsidP="001E533B">
            <w:pPr>
              <w:rPr>
                <w:rFonts w:ascii="新細明體" w:eastAsia="新細明體" w:hAnsi="新細明體"/>
              </w:rPr>
            </w:pPr>
          </w:p>
        </w:tc>
        <w:tc>
          <w:tcPr>
            <w:tcW w:w="1276" w:type="dxa"/>
            <w:vMerge/>
          </w:tcPr>
          <w:p w14:paraId="2507C6E3" w14:textId="77777777" w:rsidR="003B3105" w:rsidRDefault="003B3105" w:rsidP="001E533B">
            <w:pPr>
              <w:rPr>
                <w:rFonts w:ascii="新細明體" w:eastAsia="新細明體" w:hAnsi="新細明體"/>
              </w:rPr>
            </w:pPr>
          </w:p>
        </w:tc>
        <w:tc>
          <w:tcPr>
            <w:tcW w:w="5386" w:type="dxa"/>
            <w:tcBorders>
              <w:top w:val="nil"/>
              <w:bottom w:val="nil"/>
            </w:tcBorders>
          </w:tcPr>
          <w:p w14:paraId="3665BE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(九)主管機關或國外分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或子公司）當地主管機關檢查結束或收到檢查報告後，總（母）公司之內部稽核單位應依重大性原則，即時通報董事及監察人，並提報最近一次董事會報告。報告事項應包括檢查溝通會議內容、主要檢查缺失、遭主管機關調降評等、主管機關要求採行之重大缺失改善方案或可能採行之處分措施。</w:t>
            </w:r>
          </w:p>
        </w:tc>
        <w:tc>
          <w:tcPr>
            <w:tcW w:w="5387" w:type="dxa"/>
            <w:tcBorders>
              <w:top w:val="nil"/>
              <w:bottom w:val="nil"/>
            </w:tcBorders>
          </w:tcPr>
          <w:p w14:paraId="783C56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(九)主管機關或國外分</w:t>
            </w:r>
            <w:r>
              <w:rPr>
                <w:rFonts w:ascii="新細明體" w:eastAsia="新細明體" w:hAnsi="新細明體" w:cs="新細明體" w:hint="eastAsia"/>
                <w:b/>
                <w:color w:val="FF0000"/>
              </w:rPr>
              <w:t>公司</w:t>
            </w:r>
            <w:r>
              <w:rPr>
                <w:rFonts w:ascii="新細明體" w:eastAsia="新細明體" w:hAnsi="新細明體" w:cs="新細明體" w:hint="eastAsia"/>
              </w:rPr>
              <w:t>（或子公司）當地主管機關檢查結束或收到檢查報告後，總（母）公司之內部稽核單位應依重大性原則，即時通報董事及監察人，並提報最近一次董事會報告。報告事項應包括檢查溝通會議內容、主要檢查缺失、遭主管機關調降評等、主管機關要求採行之重大缺失改善方案或可能採行之處分措施。</w:t>
            </w:r>
          </w:p>
        </w:tc>
        <w:tc>
          <w:tcPr>
            <w:tcW w:w="2023" w:type="dxa"/>
            <w:vMerge/>
            <w:tcBorders>
              <w:right w:val="single" w:sz="12" w:space="0" w:color="auto"/>
            </w:tcBorders>
          </w:tcPr>
          <w:p w14:paraId="3DCD5E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B57110" w14:textId="77777777">
        <w:tc>
          <w:tcPr>
            <w:tcW w:w="1384" w:type="dxa"/>
            <w:vMerge/>
            <w:tcBorders>
              <w:left w:val="single" w:sz="12" w:space="0" w:color="auto"/>
            </w:tcBorders>
          </w:tcPr>
          <w:p w14:paraId="1AA47BA4" w14:textId="77777777" w:rsidR="003B3105" w:rsidRDefault="003B3105" w:rsidP="001E533B">
            <w:pPr>
              <w:rPr>
                <w:rFonts w:ascii="新細明體" w:eastAsia="新細明體" w:hAnsi="新細明體"/>
              </w:rPr>
            </w:pPr>
          </w:p>
        </w:tc>
        <w:tc>
          <w:tcPr>
            <w:tcW w:w="1276" w:type="dxa"/>
            <w:vMerge/>
          </w:tcPr>
          <w:p w14:paraId="3327FBE6" w14:textId="77777777" w:rsidR="003B3105" w:rsidRDefault="003B3105" w:rsidP="001E533B">
            <w:pPr>
              <w:rPr>
                <w:rFonts w:ascii="新細明體" w:eastAsia="新細明體" w:hAnsi="新細明體"/>
              </w:rPr>
            </w:pPr>
          </w:p>
        </w:tc>
        <w:tc>
          <w:tcPr>
            <w:tcW w:w="5386" w:type="dxa"/>
            <w:tcBorders>
              <w:top w:val="nil"/>
              <w:bottom w:val="nil"/>
            </w:tcBorders>
          </w:tcPr>
          <w:p w14:paraId="1FF77E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稽核報告應至少每月一次由總公司稽核主管彙整陳核最高主管（董事長或董事會授權之主管）。</w:t>
            </w:r>
          </w:p>
        </w:tc>
        <w:tc>
          <w:tcPr>
            <w:tcW w:w="5387" w:type="dxa"/>
            <w:tcBorders>
              <w:top w:val="nil"/>
              <w:bottom w:val="nil"/>
            </w:tcBorders>
          </w:tcPr>
          <w:p w14:paraId="74C357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(十)分</w:t>
            </w:r>
            <w:r>
              <w:rPr>
                <w:rFonts w:ascii="新細明體" w:eastAsia="新細明體" w:hAnsi="新細明體" w:cs="新細明體" w:hint="eastAsia"/>
                <w:b/>
                <w:color w:val="FF0000"/>
              </w:rPr>
              <w:t>公司</w:t>
            </w:r>
            <w:r>
              <w:rPr>
                <w:rFonts w:ascii="新細明體" w:eastAsia="新細明體" w:hAnsi="新細明體" w:cs="新細明體" w:hint="eastAsia"/>
              </w:rPr>
              <w:t>稽核報告應至少每月一次由總公司稽核主管彙整陳核最高主管（董事長或董事會授權之主管）。</w:t>
            </w:r>
          </w:p>
        </w:tc>
        <w:tc>
          <w:tcPr>
            <w:tcW w:w="2023" w:type="dxa"/>
            <w:vMerge/>
            <w:tcBorders>
              <w:right w:val="single" w:sz="12" w:space="0" w:color="auto"/>
            </w:tcBorders>
          </w:tcPr>
          <w:p w14:paraId="04FA69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47D976" w14:textId="77777777">
        <w:tc>
          <w:tcPr>
            <w:tcW w:w="1384" w:type="dxa"/>
            <w:vMerge/>
            <w:tcBorders>
              <w:left w:val="single" w:sz="12" w:space="0" w:color="auto"/>
            </w:tcBorders>
          </w:tcPr>
          <w:p w14:paraId="6CBF2A68" w14:textId="77777777" w:rsidR="003B3105" w:rsidRDefault="003B3105" w:rsidP="001E533B">
            <w:pPr>
              <w:rPr>
                <w:rFonts w:ascii="新細明體" w:eastAsia="新細明體" w:hAnsi="新細明體"/>
              </w:rPr>
            </w:pPr>
          </w:p>
        </w:tc>
        <w:tc>
          <w:tcPr>
            <w:tcW w:w="1276" w:type="dxa"/>
            <w:vMerge/>
          </w:tcPr>
          <w:p w14:paraId="7CCACF70" w14:textId="77777777" w:rsidR="003B3105" w:rsidRDefault="003B3105" w:rsidP="001E533B">
            <w:pPr>
              <w:rPr>
                <w:rFonts w:ascii="新細明體" w:eastAsia="新細明體" w:hAnsi="新細明體"/>
              </w:rPr>
            </w:pPr>
          </w:p>
        </w:tc>
        <w:tc>
          <w:tcPr>
            <w:tcW w:w="5386" w:type="dxa"/>
            <w:tcBorders>
              <w:top w:val="nil"/>
              <w:bottom w:val="nil"/>
            </w:tcBorders>
          </w:tcPr>
          <w:p w14:paraId="0B84FF0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十四、稽核人員應注意事項：</w:t>
            </w:r>
          </w:p>
        </w:tc>
        <w:tc>
          <w:tcPr>
            <w:tcW w:w="5387" w:type="dxa"/>
            <w:tcBorders>
              <w:top w:val="nil"/>
              <w:bottom w:val="nil"/>
            </w:tcBorders>
          </w:tcPr>
          <w:p w14:paraId="0838E62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十四、稽核人員應注意事項：</w:t>
            </w:r>
          </w:p>
        </w:tc>
        <w:tc>
          <w:tcPr>
            <w:tcW w:w="2023" w:type="dxa"/>
            <w:vMerge/>
            <w:tcBorders>
              <w:right w:val="single" w:sz="12" w:space="0" w:color="auto"/>
            </w:tcBorders>
          </w:tcPr>
          <w:p w14:paraId="09E1E6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2174F9" w14:textId="77777777">
        <w:tc>
          <w:tcPr>
            <w:tcW w:w="1384" w:type="dxa"/>
            <w:vMerge/>
            <w:tcBorders>
              <w:left w:val="single" w:sz="12" w:space="0" w:color="auto"/>
            </w:tcBorders>
          </w:tcPr>
          <w:p w14:paraId="716E5589" w14:textId="77777777" w:rsidR="003B3105" w:rsidRDefault="003B3105" w:rsidP="001E533B">
            <w:pPr>
              <w:rPr>
                <w:rFonts w:ascii="新細明體" w:eastAsia="新細明體" w:hAnsi="新細明體"/>
              </w:rPr>
            </w:pPr>
          </w:p>
        </w:tc>
        <w:tc>
          <w:tcPr>
            <w:tcW w:w="1276" w:type="dxa"/>
            <w:vMerge/>
          </w:tcPr>
          <w:p w14:paraId="30D46886" w14:textId="77777777" w:rsidR="003B3105" w:rsidRDefault="003B3105" w:rsidP="001E533B">
            <w:pPr>
              <w:rPr>
                <w:rFonts w:ascii="新細明體" w:eastAsia="新細明體" w:hAnsi="新細明體"/>
              </w:rPr>
            </w:pPr>
          </w:p>
        </w:tc>
        <w:tc>
          <w:tcPr>
            <w:tcW w:w="5386" w:type="dxa"/>
            <w:tcBorders>
              <w:top w:val="nil"/>
              <w:bottom w:val="nil"/>
            </w:tcBorders>
          </w:tcPr>
          <w:p w14:paraId="5FBAAAF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稽核人員應秉持超然獨立之精神，以客觀公正之立場，確實執行其職務，並盡專業上應有之注意，除定期向各監察人報告稽核業務外，稽核主管並應列席董事會報告。內部稽核人員執行業務應本誠實信用原則，並不得有下列情事：</w:t>
            </w:r>
          </w:p>
        </w:tc>
        <w:tc>
          <w:tcPr>
            <w:tcW w:w="5387" w:type="dxa"/>
            <w:tcBorders>
              <w:top w:val="nil"/>
              <w:bottom w:val="nil"/>
            </w:tcBorders>
          </w:tcPr>
          <w:p w14:paraId="173E31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稽核人員應秉持超然獨立之精神，以客觀公正之立場，確實執行其職務，並盡專業上應有之注意，除定期向各監察人報告稽核業務外，稽核主管並應列席董事會報告。內部稽核人員執行業務應本誠實信用原則，並不得有下列情事：</w:t>
            </w:r>
          </w:p>
        </w:tc>
        <w:tc>
          <w:tcPr>
            <w:tcW w:w="2023" w:type="dxa"/>
            <w:vMerge/>
            <w:tcBorders>
              <w:right w:val="single" w:sz="12" w:space="0" w:color="auto"/>
            </w:tcBorders>
          </w:tcPr>
          <w:p w14:paraId="480D59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EC2A26" w14:textId="77777777">
        <w:tc>
          <w:tcPr>
            <w:tcW w:w="1384" w:type="dxa"/>
            <w:vMerge/>
            <w:tcBorders>
              <w:left w:val="single" w:sz="12" w:space="0" w:color="auto"/>
            </w:tcBorders>
          </w:tcPr>
          <w:p w14:paraId="75914574" w14:textId="77777777" w:rsidR="003B3105" w:rsidRDefault="003B3105" w:rsidP="001E533B">
            <w:pPr>
              <w:rPr>
                <w:rFonts w:ascii="新細明體" w:eastAsia="新細明體" w:hAnsi="新細明體"/>
              </w:rPr>
            </w:pPr>
          </w:p>
        </w:tc>
        <w:tc>
          <w:tcPr>
            <w:tcW w:w="1276" w:type="dxa"/>
            <w:vMerge/>
          </w:tcPr>
          <w:p w14:paraId="61225A8A" w14:textId="77777777" w:rsidR="003B3105" w:rsidRDefault="003B3105" w:rsidP="001E533B">
            <w:pPr>
              <w:rPr>
                <w:rFonts w:ascii="新細明體" w:eastAsia="新細明體" w:hAnsi="新細明體"/>
              </w:rPr>
            </w:pPr>
          </w:p>
        </w:tc>
        <w:tc>
          <w:tcPr>
            <w:tcW w:w="5386" w:type="dxa"/>
            <w:tcBorders>
              <w:top w:val="nil"/>
              <w:bottom w:val="nil"/>
            </w:tcBorders>
          </w:tcPr>
          <w:p w14:paraId="7DF8537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1.明知公司之營運活動、報導及相關法令規章遵循情況有直接損害受益人、客戶或利害關係人之情事，而予以隱飾或作不實、不當之揭露。</w:t>
            </w:r>
          </w:p>
        </w:tc>
        <w:tc>
          <w:tcPr>
            <w:tcW w:w="5387" w:type="dxa"/>
            <w:tcBorders>
              <w:top w:val="nil"/>
              <w:bottom w:val="nil"/>
            </w:tcBorders>
          </w:tcPr>
          <w:p w14:paraId="3AA62B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1.明知公司之營運活動、報導及相關法令規章遵循情況有直接損害受益人、客戶或利害關係人之情事，而予以隱飾或作不實、不當之揭露。</w:t>
            </w:r>
          </w:p>
        </w:tc>
        <w:tc>
          <w:tcPr>
            <w:tcW w:w="2023" w:type="dxa"/>
            <w:vMerge/>
            <w:tcBorders>
              <w:right w:val="single" w:sz="12" w:space="0" w:color="auto"/>
            </w:tcBorders>
          </w:tcPr>
          <w:p w14:paraId="13D289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3C66BF" w14:textId="77777777">
        <w:tc>
          <w:tcPr>
            <w:tcW w:w="1384" w:type="dxa"/>
            <w:vMerge/>
            <w:tcBorders>
              <w:left w:val="single" w:sz="12" w:space="0" w:color="auto"/>
            </w:tcBorders>
          </w:tcPr>
          <w:p w14:paraId="1519AF3A" w14:textId="77777777" w:rsidR="003B3105" w:rsidRDefault="003B3105" w:rsidP="001E533B">
            <w:pPr>
              <w:rPr>
                <w:rFonts w:ascii="新細明體" w:eastAsia="新細明體" w:hAnsi="新細明體"/>
              </w:rPr>
            </w:pPr>
          </w:p>
        </w:tc>
        <w:tc>
          <w:tcPr>
            <w:tcW w:w="1276" w:type="dxa"/>
            <w:vMerge/>
          </w:tcPr>
          <w:p w14:paraId="1563F91F" w14:textId="77777777" w:rsidR="003B3105" w:rsidRDefault="003B3105" w:rsidP="001E533B">
            <w:pPr>
              <w:rPr>
                <w:rFonts w:ascii="新細明體" w:eastAsia="新細明體" w:hAnsi="新細明體"/>
              </w:rPr>
            </w:pPr>
          </w:p>
        </w:tc>
        <w:tc>
          <w:tcPr>
            <w:tcW w:w="5386" w:type="dxa"/>
            <w:tcBorders>
              <w:top w:val="nil"/>
              <w:bottom w:val="nil"/>
            </w:tcBorders>
          </w:tcPr>
          <w:p w14:paraId="3758E4D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2.因職務上之廢弛，致損及公司、受益人、客戶或利害關係人之權益等情事。</w:t>
            </w:r>
          </w:p>
        </w:tc>
        <w:tc>
          <w:tcPr>
            <w:tcW w:w="5387" w:type="dxa"/>
            <w:tcBorders>
              <w:top w:val="nil"/>
              <w:bottom w:val="nil"/>
            </w:tcBorders>
          </w:tcPr>
          <w:p w14:paraId="684EF57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2.因職務上之廢弛，致損及公司、受益人、客戶或利害關係人之權益等情事。</w:t>
            </w:r>
          </w:p>
        </w:tc>
        <w:tc>
          <w:tcPr>
            <w:tcW w:w="2023" w:type="dxa"/>
            <w:vMerge/>
            <w:tcBorders>
              <w:right w:val="single" w:sz="12" w:space="0" w:color="auto"/>
            </w:tcBorders>
          </w:tcPr>
          <w:p w14:paraId="382D05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F40463" w14:textId="77777777">
        <w:tc>
          <w:tcPr>
            <w:tcW w:w="1384" w:type="dxa"/>
            <w:vMerge/>
            <w:tcBorders>
              <w:left w:val="single" w:sz="12" w:space="0" w:color="auto"/>
            </w:tcBorders>
          </w:tcPr>
          <w:p w14:paraId="523E6EA6" w14:textId="77777777" w:rsidR="003B3105" w:rsidRDefault="003B3105" w:rsidP="001E533B">
            <w:pPr>
              <w:rPr>
                <w:rFonts w:ascii="新細明體" w:eastAsia="新細明體" w:hAnsi="新細明體"/>
              </w:rPr>
            </w:pPr>
          </w:p>
        </w:tc>
        <w:tc>
          <w:tcPr>
            <w:tcW w:w="1276" w:type="dxa"/>
            <w:vMerge/>
          </w:tcPr>
          <w:p w14:paraId="4027B829" w14:textId="77777777" w:rsidR="003B3105" w:rsidRDefault="003B3105" w:rsidP="001E533B">
            <w:pPr>
              <w:rPr>
                <w:rFonts w:ascii="新細明體" w:eastAsia="新細明體" w:hAnsi="新細明體"/>
              </w:rPr>
            </w:pPr>
          </w:p>
        </w:tc>
        <w:tc>
          <w:tcPr>
            <w:tcW w:w="5386" w:type="dxa"/>
            <w:tcBorders>
              <w:top w:val="nil"/>
              <w:bottom w:val="nil"/>
            </w:tcBorders>
          </w:tcPr>
          <w:p w14:paraId="4ED0DF4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3.逾越稽核職權範圍以外之行為或有其他不正當情事，意圖為自己或第三人之利益，違背其職務之行為或侵占公司資產。</w:t>
            </w:r>
          </w:p>
        </w:tc>
        <w:tc>
          <w:tcPr>
            <w:tcW w:w="5387" w:type="dxa"/>
            <w:tcBorders>
              <w:top w:val="nil"/>
              <w:bottom w:val="nil"/>
            </w:tcBorders>
          </w:tcPr>
          <w:p w14:paraId="3E126D3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3.逾越稽核職權範圍以外之行為或有其他不正當情事，意圖為自己或第三人之利益，違背其職務之行為或侵占公司資產。</w:t>
            </w:r>
          </w:p>
        </w:tc>
        <w:tc>
          <w:tcPr>
            <w:tcW w:w="2023" w:type="dxa"/>
            <w:vMerge/>
            <w:tcBorders>
              <w:right w:val="single" w:sz="12" w:space="0" w:color="auto"/>
            </w:tcBorders>
          </w:tcPr>
          <w:p w14:paraId="63F51A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8BDCAB" w14:textId="77777777">
        <w:tc>
          <w:tcPr>
            <w:tcW w:w="1384" w:type="dxa"/>
            <w:vMerge/>
            <w:tcBorders>
              <w:left w:val="single" w:sz="12" w:space="0" w:color="auto"/>
            </w:tcBorders>
          </w:tcPr>
          <w:p w14:paraId="48592A3F" w14:textId="77777777" w:rsidR="003B3105" w:rsidRDefault="003B3105" w:rsidP="001E533B">
            <w:pPr>
              <w:rPr>
                <w:rFonts w:ascii="新細明體" w:eastAsia="新細明體" w:hAnsi="新細明體"/>
              </w:rPr>
            </w:pPr>
          </w:p>
        </w:tc>
        <w:tc>
          <w:tcPr>
            <w:tcW w:w="1276" w:type="dxa"/>
            <w:vMerge/>
          </w:tcPr>
          <w:p w14:paraId="1FB69C63" w14:textId="77777777" w:rsidR="003B3105" w:rsidRDefault="003B3105" w:rsidP="001E533B">
            <w:pPr>
              <w:rPr>
                <w:rFonts w:ascii="新細明體" w:eastAsia="新細明體" w:hAnsi="新細明體"/>
              </w:rPr>
            </w:pPr>
          </w:p>
        </w:tc>
        <w:tc>
          <w:tcPr>
            <w:tcW w:w="5386" w:type="dxa"/>
            <w:tcBorders>
              <w:top w:val="nil"/>
              <w:bottom w:val="nil"/>
            </w:tcBorders>
          </w:tcPr>
          <w:p w14:paraId="3B9A52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4.對於以前曾服務之部門，於一年內進行稽核作業。但依主管機關規定，訂定下列防範利益衝突之適當措施者，分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內部稽核人員得對以前服務之部門進行稽核作業：</w:t>
            </w:r>
          </w:p>
        </w:tc>
        <w:tc>
          <w:tcPr>
            <w:tcW w:w="5387" w:type="dxa"/>
            <w:tcBorders>
              <w:top w:val="nil"/>
              <w:bottom w:val="nil"/>
            </w:tcBorders>
          </w:tcPr>
          <w:p w14:paraId="2A50D01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4.對於以前曾服務之部門，於一年內進行稽核作業。但依主管機關規定，訂定下列防範利益衝突之適當措施者，分</w:t>
            </w:r>
            <w:r>
              <w:rPr>
                <w:rFonts w:ascii="新細明體" w:eastAsia="新細明體" w:hAnsi="新細明體" w:cs="新細明體" w:hint="eastAsia"/>
                <w:b/>
                <w:color w:val="FF0000"/>
              </w:rPr>
              <w:t>公司</w:t>
            </w:r>
            <w:r>
              <w:rPr>
                <w:rFonts w:ascii="新細明體" w:eastAsia="新細明體" w:hAnsi="新細明體" w:cs="新細明體" w:hint="eastAsia"/>
              </w:rPr>
              <w:t>內部稽核人員得對以前服務之部門進行稽核作業：</w:t>
            </w:r>
          </w:p>
        </w:tc>
        <w:tc>
          <w:tcPr>
            <w:tcW w:w="2023" w:type="dxa"/>
            <w:vMerge/>
            <w:tcBorders>
              <w:right w:val="single" w:sz="12" w:space="0" w:color="auto"/>
            </w:tcBorders>
          </w:tcPr>
          <w:p w14:paraId="794AC5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733B69" w14:textId="77777777">
        <w:tc>
          <w:tcPr>
            <w:tcW w:w="1384" w:type="dxa"/>
            <w:vMerge/>
            <w:tcBorders>
              <w:left w:val="single" w:sz="12" w:space="0" w:color="auto"/>
            </w:tcBorders>
          </w:tcPr>
          <w:p w14:paraId="449D74A5" w14:textId="77777777" w:rsidR="003B3105" w:rsidRDefault="003B3105" w:rsidP="001E533B">
            <w:pPr>
              <w:rPr>
                <w:rFonts w:ascii="新細明體" w:eastAsia="新細明體" w:hAnsi="新細明體"/>
              </w:rPr>
            </w:pPr>
          </w:p>
        </w:tc>
        <w:tc>
          <w:tcPr>
            <w:tcW w:w="1276" w:type="dxa"/>
            <w:vMerge/>
          </w:tcPr>
          <w:p w14:paraId="6790C6B0" w14:textId="77777777" w:rsidR="003B3105" w:rsidRDefault="003B3105" w:rsidP="001E533B">
            <w:pPr>
              <w:rPr>
                <w:rFonts w:ascii="新細明體" w:eastAsia="新細明體" w:hAnsi="新細明體"/>
              </w:rPr>
            </w:pPr>
          </w:p>
        </w:tc>
        <w:tc>
          <w:tcPr>
            <w:tcW w:w="5386" w:type="dxa"/>
            <w:tcBorders>
              <w:top w:val="nil"/>
              <w:bottom w:val="nil"/>
            </w:tcBorders>
          </w:tcPr>
          <w:p w14:paraId="38234B98"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(1)總公司稽核部門應就該分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新任稽核人員之原職務內容進行專案查核，查核無疑慮後其始得就任。</w:t>
            </w:r>
          </w:p>
        </w:tc>
        <w:tc>
          <w:tcPr>
            <w:tcW w:w="5387" w:type="dxa"/>
            <w:tcBorders>
              <w:top w:val="nil"/>
              <w:bottom w:val="nil"/>
            </w:tcBorders>
          </w:tcPr>
          <w:p w14:paraId="3D17D12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(1)總公司稽核部門應就該分</w:t>
            </w:r>
            <w:r>
              <w:rPr>
                <w:rFonts w:ascii="新細明體" w:eastAsia="新細明體" w:hAnsi="新細明體" w:cs="新細明體" w:hint="eastAsia"/>
                <w:b/>
                <w:color w:val="FF0000"/>
              </w:rPr>
              <w:t>公司</w:t>
            </w:r>
            <w:r>
              <w:rPr>
                <w:rFonts w:ascii="新細明體" w:eastAsia="新細明體" w:hAnsi="新細明體" w:cs="新細明體" w:hint="eastAsia"/>
              </w:rPr>
              <w:t>新任稽核人員之原職務內容進行專案查核，查核無疑慮後其始得就任。</w:t>
            </w:r>
          </w:p>
        </w:tc>
        <w:tc>
          <w:tcPr>
            <w:tcW w:w="2023" w:type="dxa"/>
            <w:vMerge/>
            <w:tcBorders>
              <w:right w:val="single" w:sz="12" w:space="0" w:color="auto"/>
            </w:tcBorders>
          </w:tcPr>
          <w:p w14:paraId="55BF6A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1BB417" w14:textId="77777777">
        <w:tc>
          <w:tcPr>
            <w:tcW w:w="1384" w:type="dxa"/>
            <w:vMerge/>
            <w:tcBorders>
              <w:left w:val="single" w:sz="12" w:space="0" w:color="auto"/>
            </w:tcBorders>
          </w:tcPr>
          <w:p w14:paraId="7EBAFB8A" w14:textId="77777777" w:rsidR="003B3105" w:rsidRDefault="003B3105" w:rsidP="001E533B">
            <w:pPr>
              <w:rPr>
                <w:rFonts w:ascii="新細明體" w:eastAsia="新細明體" w:hAnsi="新細明體"/>
              </w:rPr>
            </w:pPr>
          </w:p>
        </w:tc>
        <w:tc>
          <w:tcPr>
            <w:tcW w:w="1276" w:type="dxa"/>
            <w:vMerge/>
          </w:tcPr>
          <w:p w14:paraId="6650D983" w14:textId="77777777" w:rsidR="003B3105" w:rsidRDefault="003B3105" w:rsidP="001E533B">
            <w:pPr>
              <w:rPr>
                <w:rFonts w:ascii="新細明體" w:eastAsia="新細明體" w:hAnsi="新細明體"/>
              </w:rPr>
            </w:pPr>
          </w:p>
        </w:tc>
        <w:tc>
          <w:tcPr>
            <w:tcW w:w="5386" w:type="dxa"/>
            <w:tcBorders>
              <w:top w:val="nil"/>
              <w:bottom w:val="nil"/>
            </w:tcBorders>
          </w:tcPr>
          <w:p w14:paraId="46B5648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(2)總公司稽核部門主管應就該分</w:t>
            </w:r>
            <w:r>
              <w:rPr>
                <w:rFonts w:ascii="新細明體" w:eastAsia="新細明體" w:hAnsi="新細明體" w:cs="新細明體" w:hint="eastAsia"/>
                <w:b/>
                <w:color w:val="FF0000"/>
                <w:u w:val="single"/>
              </w:rPr>
              <w:t>支機構或該簡易分支機構</w:t>
            </w:r>
            <w:r>
              <w:rPr>
                <w:rFonts w:ascii="新細明體" w:eastAsia="新細明體" w:hAnsi="新細明體" w:cs="新細明體" w:hint="eastAsia"/>
              </w:rPr>
              <w:t>新任稽核人員之適任性盡評估責任。</w:t>
            </w:r>
          </w:p>
        </w:tc>
        <w:tc>
          <w:tcPr>
            <w:tcW w:w="5387" w:type="dxa"/>
            <w:tcBorders>
              <w:top w:val="nil"/>
              <w:bottom w:val="nil"/>
            </w:tcBorders>
          </w:tcPr>
          <w:p w14:paraId="37DDBAF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(2)總公司稽核部門主管應就該分</w:t>
            </w:r>
            <w:r>
              <w:rPr>
                <w:rFonts w:ascii="新細明體" w:eastAsia="新細明體" w:hAnsi="新細明體" w:cs="新細明體" w:hint="eastAsia"/>
                <w:b/>
                <w:color w:val="FF0000"/>
              </w:rPr>
              <w:t>公司</w:t>
            </w:r>
            <w:r>
              <w:rPr>
                <w:rFonts w:ascii="新細明體" w:eastAsia="新細明體" w:hAnsi="新細明體" w:cs="新細明體" w:hint="eastAsia"/>
              </w:rPr>
              <w:t>新任稽核人員之適任性盡評估責任。</w:t>
            </w:r>
          </w:p>
        </w:tc>
        <w:tc>
          <w:tcPr>
            <w:tcW w:w="2023" w:type="dxa"/>
            <w:vMerge/>
            <w:tcBorders>
              <w:right w:val="single" w:sz="12" w:space="0" w:color="auto"/>
            </w:tcBorders>
          </w:tcPr>
          <w:p w14:paraId="505AC3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BBF9CC" w14:textId="77777777">
        <w:tc>
          <w:tcPr>
            <w:tcW w:w="1384" w:type="dxa"/>
            <w:vMerge/>
            <w:tcBorders>
              <w:left w:val="single" w:sz="12" w:space="0" w:color="auto"/>
            </w:tcBorders>
          </w:tcPr>
          <w:p w14:paraId="52D8B164" w14:textId="77777777" w:rsidR="003B3105" w:rsidRDefault="003B3105" w:rsidP="001E533B">
            <w:pPr>
              <w:rPr>
                <w:rFonts w:ascii="新細明體" w:eastAsia="新細明體" w:hAnsi="新細明體"/>
              </w:rPr>
            </w:pPr>
          </w:p>
        </w:tc>
        <w:tc>
          <w:tcPr>
            <w:tcW w:w="1276" w:type="dxa"/>
            <w:vMerge/>
          </w:tcPr>
          <w:p w14:paraId="5E1A3DC4" w14:textId="77777777" w:rsidR="003B3105" w:rsidRDefault="003B3105" w:rsidP="001E533B">
            <w:pPr>
              <w:rPr>
                <w:rFonts w:ascii="新細明體" w:eastAsia="新細明體" w:hAnsi="新細明體"/>
              </w:rPr>
            </w:pPr>
          </w:p>
        </w:tc>
        <w:tc>
          <w:tcPr>
            <w:tcW w:w="5386" w:type="dxa"/>
            <w:tcBorders>
              <w:top w:val="nil"/>
              <w:bottom w:val="nil"/>
            </w:tcBorders>
          </w:tcPr>
          <w:p w14:paraId="2FC06C6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(3)總公司稽核部門應就稽核人員係由原分</w:t>
            </w:r>
            <w:r>
              <w:rPr>
                <w:rFonts w:ascii="新細明體" w:eastAsia="新細明體" w:hAnsi="新細明體" w:cs="新細明體" w:hint="eastAsia"/>
                <w:b/>
                <w:color w:val="FF0000"/>
                <w:u w:val="single"/>
              </w:rPr>
              <w:t>支機構或原簡易分支機構</w:t>
            </w:r>
            <w:r>
              <w:rPr>
                <w:rFonts w:ascii="新細明體" w:eastAsia="新細明體" w:hAnsi="新細明體" w:cs="新細明體" w:hint="eastAsia"/>
              </w:rPr>
              <w:t>其他部門轉任之營業據點，提高查核頻率至每季一次，直至該稽核人員任職屆滿一年為止。</w:t>
            </w:r>
          </w:p>
        </w:tc>
        <w:tc>
          <w:tcPr>
            <w:tcW w:w="5387" w:type="dxa"/>
            <w:tcBorders>
              <w:top w:val="nil"/>
              <w:bottom w:val="nil"/>
            </w:tcBorders>
          </w:tcPr>
          <w:p w14:paraId="040ABFD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(3)總公司稽核部門應就稽核人員係由原分</w:t>
            </w:r>
            <w:r>
              <w:rPr>
                <w:rFonts w:ascii="新細明體" w:eastAsia="新細明體" w:hAnsi="新細明體" w:cs="新細明體" w:hint="eastAsia"/>
                <w:b/>
                <w:color w:val="FF0000"/>
              </w:rPr>
              <w:t>公司</w:t>
            </w:r>
            <w:r>
              <w:rPr>
                <w:rFonts w:ascii="新細明體" w:eastAsia="新細明體" w:hAnsi="新細明體" w:cs="新細明體" w:hint="eastAsia"/>
              </w:rPr>
              <w:t>其他部門轉任之營業據點，提高查核頻率至每季一次，直至該稽核人員任職屆滿一年為止。</w:t>
            </w:r>
          </w:p>
        </w:tc>
        <w:tc>
          <w:tcPr>
            <w:tcW w:w="2023" w:type="dxa"/>
            <w:vMerge/>
            <w:tcBorders>
              <w:right w:val="single" w:sz="12" w:space="0" w:color="auto"/>
            </w:tcBorders>
          </w:tcPr>
          <w:p w14:paraId="2B6DBB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79F5A7" w14:textId="77777777">
        <w:tc>
          <w:tcPr>
            <w:tcW w:w="1384" w:type="dxa"/>
            <w:vMerge/>
            <w:tcBorders>
              <w:left w:val="single" w:sz="12" w:space="0" w:color="auto"/>
            </w:tcBorders>
          </w:tcPr>
          <w:p w14:paraId="656ADF99" w14:textId="77777777" w:rsidR="003B3105" w:rsidRDefault="003B3105" w:rsidP="001E533B">
            <w:pPr>
              <w:rPr>
                <w:rFonts w:ascii="新細明體" w:eastAsia="新細明體" w:hAnsi="新細明體"/>
              </w:rPr>
            </w:pPr>
          </w:p>
        </w:tc>
        <w:tc>
          <w:tcPr>
            <w:tcW w:w="1276" w:type="dxa"/>
            <w:vMerge/>
          </w:tcPr>
          <w:p w14:paraId="5010DE47" w14:textId="77777777" w:rsidR="003B3105" w:rsidRDefault="003B3105" w:rsidP="001E533B">
            <w:pPr>
              <w:rPr>
                <w:rFonts w:ascii="新細明體" w:eastAsia="新細明體" w:hAnsi="新細明體"/>
              </w:rPr>
            </w:pPr>
          </w:p>
        </w:tc>
        <w:tc>
          <w:tcPr>
            <w:tcW w:w="5386" w:type="dxa"/>
            <w:tcBorders>
              <w:top w:val="nil"/>
              <w:bottom w:val="nil"/>
            </w:tcBorders>
          </w:tcPr>
          <w:p w14:paraId="322C20A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(4)該分</w:t>
            </w:r>
            <w:r>
              <w:rPr>
                <w:rFonts w:ascii="新細明體" w:eastAsia="新細明體" w:hAnsi="新細明體" w:cs="新細明體" w:hint="eastAsia"/>
                <w:b/>
                <w:color w:val="FF0000"/>
                <w:u w:val="single"/>
              </w:rPr>
              <w:t>支機構或該簡易分支機構</w:t>
            </w:r>
            <w:r>
              <w:rPr>
                <w:rFonts w:ascii="新細明體" w:eastAsia="新細明體" w:hAnsi="新細明體" w:cs="新細明體" w:hint="eastAsia"/>
              </w:rPr>
              <w:t>新任稽核人員及經理人應分別出具書面聲明，表示將確盡稽核義務，及表示尊重稽核人員之獨立性，絕不干預。</w:t>
            </w:r>
          </w:p>
        </w:tc>
        <w:tc>
          <w:tcPr>
            <w:tcW w:w="5387" w:type="dxa"/>
            <w:tcBorders>
              <w:top w:val="nil"/>
              <w:bottom w:val="nil"/>
            </w:tcBorders>
          </w:tcPr>
          <w:p w14:paraId="61ECD4B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(4)該分</w:t>
            </w:r>
            <w:r>
              <w:rPr>
                <w:rFonts w:ascii="新細明體" w:eastAsia="新細明體" w:hAnsi="新細明體" w:cs="新細明體" w:hint="eastAsia"/>
                <w:b/>
                <w:color w:val="FF0000"/>
              </w:rPr>
              <w:t>公司</w:t>
            </w:r>
            <w:r>
              <w:rPr>
                <w:rFonts w:ascii="新細明體" w:eastAsia="新細明體" w:hAnsi="新細明體" w:cs="新細明體" w:hint="eastAsia"/>
              </w:rPr>
              <w:t>新任稽核人員及經理人應分別出具書面聲明，表示將確盡稽核義務，及表示尊重稽核人員之獨立性，絕不干預。</w:t>
            </w:r>
          </w:p>
        </w:tc>
        <w:tc>
          <w:tcPr>
            <w:tcW w:w="2023" w:type="dxa"/>
            <w:vMerge/>
            <w:tcBorders>
              <w:right w:val="single" w:sz="12" w:space="0" w:color="auto"/>
            </w:tcBorders>
          </w:tcPr>
          <w:p w14:paraId="55A895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F1F7C3" w14:textId="77777777">
        <w:tc>
          <w:tcPr>
            <w:tcW w:w="1384" w:type="dxa"/>
            <w:vMerge/>
            <w:tcBorders>
              <w:left w:val="single" w:sz="12" w:space="0" w:color="auto"/>
            </w:tcBorders>
          </w:tcPr>
          <w:p w14:paraId="44D1ED32" w14:textId="77777777" w:rsidR="003B3105" w:rsidRDefault="003B3105" w:rsidP="001E533B">
            <w:pPr>
              <w:rPr>
                <w:rFonts w:ascii="新細明體" w:eastAsia="新細明體" w:hAnsi="新細明體"/>
              </w:rPr>
            </w:pPr>
          </w:p>
        </w:tc>
        <w:tc>
          <w:tcPr>
            <w:tcW w:w="1276" w:type="dxa"/>
            <w:vMerge/>
          </w:tcPr>
          <w:p w14:paraId="448575B9" w14:textId="77777777" w:rsidR="003B3105" w:rsidRDefault="003B3105" w:rsidP="001E533B">
            <w:pPr>
              <w:rPr>
                <w:rFonts w:ascii="新細明體" w:eastAsia="新細明體" w:hAnsi="新細明體"/>
              </w:rPr>
            </w:pPr>
          </w:p>
        </w:tc>
        <w:tc>
          <w:tcPr>
            <w:tcW w:w="5386" w:type="dxa"/>
            <w:tcBorders>
              <w:top w:val="nil"/>
              <w:bottom w:val="nil"/>
            </w:tcBorders>
          </w:tcPr>
          <w:p w14:paraId="4F021CE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5.與自身有利害關係或利益衝突案件未予</w:t>
            </w:r>
            <w:r>
              <w:rPr>
                <w:rFonts w:ascii="新細明體" w:eastAsia="新細明體" w:hAnsi="新細明體" w:cs="新細明體" w:hint="eastAsia"/>
              </w:rPr>
              <w:lastRenderedPageBreak/>
              <w:t>迴避。</w:t>
            </w:r>
          </w:p>
        </w:tc>
        <w:tc>
          <w:tcPr>
            <w:tcW w:w="5387" w:type="dxa"/>
            <w:tcBorders>
              <w:top w:val="nil"/>
              <w:bottom w:val="nil"/>
            </w:tcBorders>
          </w:tcPr>
          <w:p w14:paraId="1F1B12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5.與自身有利害關係或利益衝突案件未予</w:t>
            </w:r>
            <w:r>
              <w:rPr>
                <w:rFonts w:ascii="新細明體" w:eastAsia="新細明體" w:hAnsi="新細明體" w:cs="新細明體" w:hint="eastAsia"/>
              </w:rPr>
              <w:lastRenderedPageBreak/>
              <w:t>迴避。</w:t>
            </w:r>
          </w:p>
        </w:tc>
        <w:tc>
          <w:tcPr>
            <w:tcW w:w="2023" w:type="dxa"/>
            <w:vMerge/>
            <w:tcBorders>
              <w:right w:val="single" w:sz="12" w:space="0" w:color="auto"/>
            </w:tcBorders>
          </w:tcPr>
          <w:p w14:paraId="6CABF5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AA0473" w14:textId="77777777">
        <w:tc>
          <w:tcPr>
            <w:tcW w:w="1384" w:type="dxa"/>
            <w:vMerge/>
            <w:tcBorders>
              <w:left w:val="single" w:sz="12" w:space="0" w:color="auto"/>
            </w:tcBorders>
          </w:tcPr>
          <w:p w14:paraId="2CBAC630" w14:textId="77777777" w:rsidR="003B3105" w:rsidRDefault="003B3105" w:rsidP="001E533B">
            <w:pPr>
              <w:rPr>
                <w:rFonts w:ascii="新細明體" w:eastAsia="新細明體" w:hAnsi="新細明體"/>
              </w:rPr>
            </w:pPr>
          </w:p>
        </w:tc>
        <w:tc>
          <w:tcPr>
            <w:tcW w:w="1276" w:type="dxa"/>
            <w:vMerge/>
          </w:tcPr>
          <w:p w14:paraId="1451EAD1" w14:textId="77777777" w:rsidR="003B3105" w:rsidRDefault="003B3105" w:rsidP="001E533B">
            <w:pPr>
              <w:rPr>
                <w:rFonts w:ascii="新細明體" w:eastAsia="新細明體" w:hAnsi="新細明體"/>
              </w:rPr>
            </w:pPr>
          </w:p>
        </w:tc>
        <w:tc>
          <w:tcPr>
            <w:tcW w:w="5386" w:type="dxa"/>
            <w:tcBorders>
              <w:top w:val="nil"/>
              <w:bottom w:val="nil"/>
            </w:tcBorders>
          </w:tcPr>
          <w:p w14:paraId="25AA23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6.未配合辦理主管機關指示查核事項或提供相關資料。</w:t>
            </w:r>
          </w:p>
        </w:tc>
        <w:tc>
          <w:tcPr>
            <w:tcW w:w="5387" w:type="dxa"/>
            <w:tcBorders>
              <w:top w:val="nil"/>
              <w:bottom w:val="nil"/>
            </w:tcBorders>
          </w:tcPr>
          <w:p w14:paraId="0B1DDB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6.未配合辦理主管機關指示查核事項或提供相關資料。</w:t>
            </w:r>
          </w:p>
        </w:tc>
        <w:tc>
          <w:tcPr>
            <w:tcW w:w="2023" w:type="dxa"/>
            <w:vMerge/>
            <w:tcBorders>
              <w:right w:val="single" w:sz="12" w:space="0" w:color="auto"/>
            </w:tcBorders>
          </w:tcPr>
          <w:p w14:paraId="13831A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52D3C6" w14:textId="77777777">
        <w:tc>
          <w:tcPr>
            <w:tcW w:w="1384" w:type="dxa"/>
            <w:vMerge/>
            <w:tcBorders>
              <w:left w:val="single" w:sz="12" w:space="0" w:color="auto"/>
            </w:tcBorders>
          </w:tcPr>
          <w:p w14:paraId="40796ECB" w14:textId="77777777" w:rsidR="003B3105" w:rsidRDefault="003B3105" w:rsidP="001E533B">
            <w:pPr>
              <w:rPr>
                <w:rFonts w:ascii="新細明體" w:eastAsia="新細明體" w:hAnsi="新細明體"/>
              </w:rPr>
            </w:pPr>
          </w:p>
        </w:tc>
        <w:tc>
          <w:tcPr>
            <w:tcW w:w="1276" w:type="dxa"/>
            <w:vMerge/>
          </w:tcPr>
          <w:p w14:paraId="0D9C325F" w14:textId="77777777" w:rsidR="003B3105" w:rsidRDefault="003B3105" w:rsidP="001E533B">
            <w:pPr>
              <w:rPr>
                <w:rFonts w:ascii="新細明體" w:eastAsia="新細明體" w:hAnsi="新細明體"/>
              </w:rPr>
            </w:pPr>
          </w:p>
        </w:tc>
        <w:tc>
          <w:tcPr>
            <w:tcW w:w="5386" w:type="dxa"/>
            <w:tcBorders>
              <w:top w:val="nil"/>
              <w:bottom w:val="nil"/>
            </w:tcBorders>
          </w:tcPr>
          <w:p w14:paraId="3C452B1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7.直接或間接提供、承諾、要求或收受不合理禮物、款待或其他任何形式之不正當利益。</w:t>
            </w:r>
          </w:p>
        </w:tc>
        <w:tc>
          <w:tcPr>
            <w:tcW w:w="5387" w:type="dxa"/>
            <w:tcBorders>
              <w:top w:val="nil"/>
              <w:bottom w:val="nil"/>
            </w:tcBorders>
          </w:tcPr>
          <w:p w14:paraId="4492331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7.直接或間接提供、承諾、要求或收受不合理禮物、款待或其他任何形式之不正當利益。</w:t>
            </w:r>
          </w:p>
        </w:tc>
        <w:tc>
          <w:tcPr>
            <w:tcW w:w="2023" w:type="dxa"/>
            <w:vMerge/>
            <w:tcBorders>
              <w:right w:val="single" w:sz="12" w:space="0" w:color="auto"/>
            </w:tcBorders>
          </w:tcPr>
          <w:p w14:paraId="37BF0C9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49B9D4" w14:textId="77777777">
        <w:tc>
          <w:tcPr>
            <w:tcW w:w="1384" w:type="dxa"/>
            <w:vMerge/>
            <w:tcBorders>
              <w:left w:val="single" w:sz="12" w:space="0" w:color="auto"/>
            </w:tcBorders>
          </w:tcPr>
          <w:p w14:paraId="7F932160" w14:textId="77777777" w:rsidR="003B3105" w:rsidRDefault="003B3105" w:rsidP="001E533B">
            <w:pPr>
              <w:rPr>
                <w:rFonts w:ascii="新細明體" w:eastAsia="新細明體" w:hAnsi="新細明體"/>
              </w:rPr>
            </w:pPr>
          </w:p>
        </w:tc>
        <w:tc>
          <w:tcPr>
            <w:tcW w:w="1276" w:type="dxa"/>
            <w:vMerge/>
          </w:tcPr>
          <w:p w14:paraId="4A7466E5" w14:textId="77777777" w:rsidR="003B3105" w:rsidRDefault="003B3105" w:rsidP="001E533B">
            <w:pPr>
              <w:rPr>
                <w:rFonts w:ascii="新細明體" w:eastAsia="新細明體" w:hAnsi="新細明體"/>
              </w:rPr>
            </w:pPr>
          </w:p>
        </w:tc>
        <w:tc>
          <w:tcPr>
            <w:tcW w:w="5386" w:type="dxa"/>
            <w:tcBorders>
              <w:top w:val="nil"/>
              <w:bottom w:val="nil"/>
            </w:tcBorders>
          </w:tcPr>
          <w:p w14:paraId="6E9C45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8.其他違反法令或經主管機關規定不得為之行為。</w:t>
            </w:r>
          </w:p>
        </w:tc>
        <w:tc>
          <w:tcPr>
            <w:tcW w:w="5387" w:type="dxa"/>
            <w:tcBorders>
              <w:top w:val="nil"/>
              <w:bottom w:val="nil"/>
            </w:tcBorders>
          </w:tcPr>
          <w:p w14:paraId="7C1C245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8.其他違反法令或經主管機關規定不得為之行為。</w:t>
            </w:r>
          </w:p>
        </w:tc>
        <w:tc>
          <w:tcPr>
            <w:tcW w:w="2023" w:type="dxa"/>
            <w:vMerge/>
            <w:tcBorders>
              <w:right w:val="single" w:sz="12" w:space="0" w:color="auto"/>
            </w:tcBorders>
          </w:tcPr>
          <w:p w14:paraId="5EAC12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9E058C" w14:textId="77777777">
        <w:tc>
          <w:tcPr>
            <w:tcW w:w="1384" w:type="dxa"/>
            <w:vMerge/>
            <w:tcBorders>
              <w:left w:val="single" w:sz="12" w:space="0" w:color="auto"/>
            </w:tcBorders>
          </w:tcPr>
          <w:p w14:paraId="496AC265" w14:textId="77777777" w:rsidR="003B3105" w:rsidRDefault="003B3105" w:rsidP="001E533B">
            <w:pPr>
              <w:rPr>
                <w:rFonts w:ascii="新細明體" w:eastAsia="新細明體" w:hAnsi="新細明體"/>
              </w:rPr>
            </w:pPr>
          </w:p>
        </w:tc>
        <w:tc>
          <w:tcPr>
            <w:tcW w:w="1276" w:type="dxa"/>
            <w:vMerge/>
          </w:tcPr>
          <w:p w14:paraId="1FB0885E" w14:textId="77777777" w:rsidR="003B3105" w:rsidRDefault="003B3105" w:rsidP="001E533B">
            <w:pPr>
              <w:rPr>
                <w:rFonts w:ascii="新細明體" w:eastAsia="新細明體" w:hAnsi="新細明體"/>
              </w:rPr>
            </w:pPr>
          </w:p>
        </w:tc>
        <w:tc>
          <w:tcPr>
            <w:tcW w:w="5386" w:type="dxa"/>
            <w:tcBorders>
              <w:top w:val="nil"/>
              <w:bottom w:val="nil"/>
            </w:tcBorders>
          </w:tcPr>
          <w:p w14:paraId="526C32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(二)稽核人員應持續參加主管機關或專業機構或公司自行舉辦之內部稽核講習及各項專業課程，以提昇稽核品質及能力。</w:t>
            </w:r>
          </w:p>
        </w:tc>
        <w:tc>
          <w:tcPr>
            <w:tcW w:w="5387" w:type="dxa"/>
            <w:tcBorders>
              <w:top w:val="nil"/>
              <w:bottom w:val="nil"/>
            </w:tcBorders>
          </w:tcPr>
          <w:p w14:paraId="1BD277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(二)稽核人員應持續參加主管機關或專業機構或公司自行舉辦之內部稽核講習及各項專業課程，以提昇稽核品質及能力。</w:t>
            </w:r>
          </w:p>
        </w:tc>
        <w:tc>
          <w:tcPr>
            <w:tcW w:w="2023" w:type="dxa"/>
            <w:vMerge/>
            <w:tcBorders>
              <w:right w:val="single" w:sz="12" w:space="0" w:color="auto"/>
            </w:tcBorders>
          </w:tcPr>
          <w:p w14:paraId="74445C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0ADA5B" w14:textId="77777777">
        <w:tc>
          <w:tcPr>
            <w:tcW w:w="1384" w:type="dxa"/>
            <w:vMerge/>
            <w:tcBorders>
              <w:left w:val="single" w:sz="12" w:space="0" w:color="auto"/>
            </w:tcBorders>
          </w:tcPr>
          <w:p w14:paraId="3247C4B8" w14:textId="77777777" w:rsidR="003B3105" w:rsidRDefault="003B3105" w:rsidP="001E533B">
            <w:pPr>
              <w:rPr>
                <w:rFonts w:ascii="新細明體" w:eastAsia="新細明體" w:hAnsi="新細明體"/>
              </w:rPr>
            </w:pPr>
          </w:p>
        </w:tc>
        <w:tc>
          <w:tcPr>
            <w:tcW w:w="1276" w:type="dxa"/>
            <w:vMerge/>
          </w:tcPr>
          <w:p w14:paraId="0652A03D" w14:textId="77777777" w:rsidR="003B3105" w:rsidRDefault="003B3105" w:rsidP="001E533B">
            <w:pPr>
              <w:rPr>
                <w:rFonts w:ascii="新細明體" w:eastAsia="新細明體" w:hAnsi="新細明體"/>
              </w:rPr>
            </w:pPr>
          </w:p>
        </w:tc>
        <w:tc>
          <w:tcPr>
            <w:tcW w:w="5386" w:type="dxa"/>
            <w:tcBorders>
              <w:top w:val="nil"/>
              <w:bottom w:val="nil"/>
            </w:tcBorders>
          </w:tcPr>
          <w:p w14:paraId="2AD9EC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(三)稽核程序按查核計畫進行，避免不必要之討論與諮詢，儘量減少影響受查單位經辦人員本身之工作，遇有不明瞭之事項，應於適當時間提出詢問，至澈底瞭解為止。</w:t>
            </w:r>
          </w:p>
        </w:tc>
        <w:tc>
          <w:tcPr>
            <w:tcW w:w="5387" w:type="dxa"/>
            <w:tcBorders>
              <w:top w:val="nil"/>
              <w:bottom w:val="nil"/>
            </w:tcBorders>
          </w:tcPr>
          <w:p w14:paraId="05406D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(三)稽核程序按查核計畫進行，避免不必要之討論與諮詢，儘量減少影響受查單位經辦人員本身之工作，遇有不明瞭之事項，應於適當時間提出詢問，至澈底瞭解為止。</w:t>
            </w:r>
          </w:p>
        </w:tc>
        <w:tc>
          <w:tcPr>
            <w:tcW w:w="2023" w:type="dxa"/>
            <w:vMerge/>
            <w:tcBorders>
              <w:right w:val="single" w:sz="12" w:space="0" w:color="auto"/>
            </w:tcBorders>
          </w:tcPr>
          <w:p w14:paraId="13C635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50ED3A" w14:textId="77777777">
        <w:tc>
          <w:tcPr>
            <w:tcW w:w="1384" w:type="dxa"/>
            <w:vMerge/>
            <w:tcBorders>
              <w:left w:val="single" w:sz="12" w:space="0" w:color="auto"/>
            </w:tcBorders>
          </w:tcPr>
          <w:p w14:paraId="5967A994" w14:textId="77777777" w:rsidR="003B3105" w:rsidRDefault="003B3105" w:rsidP="001E533B">
            <w:pPr>
              <w:rPr>
                <w:rFonts w:ascii="新細明體" w:eastAsia="新細明體" w:hAnsi="新細明體"/>
              </w:rPr>
            </w:pPr>
          </w:p>
        </w:tc>
        <w:tc>
          <w:tcPr>
            <w:tcW w:w="1276" w:type="dxa"/>
            <w:vMerge/>
          </w:tcPr>
          <w:p w14:paraId="78E16868" w14:textId="77777777" w:rsidR="003B3105" w:rsidRDefault="003B3105" w:rsidP="001E533B">
            <w:pPr>
              <w:rPr>
                <w:rFonts w:ascii="新細明體" w:eastAsia="新細明體" w:hAnsi="新細明體"/>
              </w:rPr>
            </w:pPr>
          </w:p>
        </w:tc>
        <w:tc>
          <w:tcPr>
            <w:tcW w:w="5386" w:type="dxa"/>
            <w:tcBorders>
              <w:top w:val="nil"/>
              <w:bottom w:val="nil"/>
            </w:tcBorders>
          </w:tcPr>
          <w:p w14:paraId="7A6F4F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(四)勿與受查單位人員爭論制度上之不完備，發現錯誤情事不得當面批評，受查單位人員如有申訴或建議，應細心聆聽，勿與辯論。</w:t>
            </w:r>
          </w:p>
        </w:tc>
        <w:tc>
          <w:tcPr>
            <w:tcW w:w="5387" w:type="dxa"/>
            <w:tcBorders>
              <w:top w:val="nil"/>
              <w:bottom w:val="nil"/>
            </w:tcBorders>
          </w:tcPr>
          <w:p w14:paraId="1B3F17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(四)勿與受查單位人員爭論制度上之不完備，發現錯誤情事不得當面批評，受查單位人員如有申訴或建議，應細心聆聽，勿與辯論。</w:t>
            </w:r>
          </w:p>
        </w:tc>
        <w:tc>
          <w:tcPr>
            <w:tcW w:w="2023" w:type="dxa"/>
            <w:vMerge/>
            <w:tcBorders>
              <w:right w:val="single" w:sz="12" w:space="0" w:color="auto"/>
            </w:tcBorders>
          </w:tcPr>
          <w:p w14:paraId="5E82A7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C5F797" w14:textId="77777777">
        <w:tc>
          <w:tcPr>
            <w:tcW w:w="1384" w:type="dxa"/>
            <w:vMerge/>
            <w:tcBorders>
              <w:left w:val="single" w:sz="12" w:space="0" w:color="auto"/>
            </w:tcBorders>
          </w:tcPr>
          <w:p w14:paraId="1CA9BC0A" w14:textId="77777777" w:rsidR="003B3105" w:rsidRDefault="003B3105" w:rsidP="001E533B">
            <w:pPr>
              <w:rPr>
                <w:rFonts w:ascii="新細明體" w:eastAsia="新細明體" w:hAnsi="新細明體"/>
              </w:rPr>
            </w:pPr>
          </w:p>
        </w:tc>
        <w:tc>
          <w:tcPr>
            <w:tcW w:w="1276" w:type="dxa"/>
            <w:vMerge/>
          </w:tcPr>
          <w:p w14:paraId="369F89AD" w14:textId="77777777" w:rsidR="003B3105" w:rsidRDefault="003B3105" w:rsidP="001E533B">
            <w:pPr>
              <w:rPr>
                <w:rFonts w:ascii="新細明體" w:eastAsia="新細明體" w:hAnsi="新細明體"/>
              </w:rPr>
            </w:pPr>
          </w:p>
        </w:tc>
        <w:tc>
          <w:tcPr>
            <w:tcW w:w="5386" w:type="dxa"/>
            <w:tcBorders>
              <w:top w:val="nil"/>
              <w:bottom w:val="nil"/>
            </w:tcBorders>
          </w:tcPr>
          <w:p w14:paraId="217174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(五)稽核人員應充分瞭解現行相關法令，並熟諳公司現行內部控制各種制度、規章，尚應透徹瞭解受查單位之單行辦法及特殊情況。</w:t>
            </w:r>
          </w:p>
        </w:tc>
        <w:tc>
          <w:tcPr>
            <w:tcW w:w="5387" w:type="dxa"/>
            <w:tcBorders>
              <w:top w:val="nil"/>
              <w:bottom w:val="nil"/>
            </w:tcBorders>
          </w:tcPr>
          <w:p w14:paraId="189358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(五)稽核人員應充分瞭解現行相關法令，並熟諳公司現行內部控制各種制度、規章，尚應透徹瞭解受查單位之單行辦法及特殊情況。</w:t>
            </w:r>
          </w:p>
        </w:tc>
        <w:tc>
          <w:tcPr>
            <w:tcW w:w="2023" w:type="dxa"/>
            <w:vMerge/>
            <w:tcBorders>
              <w:right w:val="single" w:sz="12" w:space="0" w:color="auto"/>
            </w:tcBorders>
          </w:tcPr>
          <w:p w14:paraId="67B4C3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3C6755" w14:textId="77777777">
        <w:tc>
          <w:tcPr>
            <w:tcW w:w="1384" w:type="dxa"/>
            <w:vMerge/>
            <w:tcBorders>
              <w:left w:val="single" w:sz="12" w:space="0" w:color="auto"/>
            </w:tcBorders>
          </w:tcPr>
          <w:p w14:paraId="71B80BBB" w14:textId="77777777" w:rsidR="003B3105" w:rsidRDefault="003B3105" w:rsidP="001E533B">
            <w:pPr>
              <w:rPr>
                <w:rFonts w:ascii="新細明體" w:eastAsia="新細明體" w:hAnsi="新細明體"/>
              </w:rPr>
            </w:pPr>
          </w:p>
        </w:tc>
        <w:tc>
          <w:tcPr>
            <w:tcW w:w="1276" w:type="dxa"/>
            <w:vMerge/>
          </w:tcPr>
          <w:p w14:paraId="3CA707C2" w14:textId="77777777" w:rsidR="003B3105" w:rsidRDefault="003B3105" w:rsidP="001E533B">
            <w:pPr>
              <w:rPr>
                <w:rFonts w:ascii="新細明體" w:eastAsia="新細明體" w:hAnsi="新細明體"/>
              </w:rPr>
            </w:pPr>
          </w:p>
        </w:tc>
        <w:tc>
          <w:tcPr>
            <w:tcW w:w="5386" w:type="dxa"/>
            <w:tcBorders>
              <w:top w:val="nil"/>
              <w:bottom w:val="nil"/>
            </w:tcBorders>
          </w:tcPr>
          <w:p w14:paraId="6EE17D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(六)稽核人員應事前熟知受查單位之歷史背景、重要資料及以往稽核報告內容。</w:t>
            </w:r>
          </w:p>
        </w:tc>
        <w:tc>
          <w:tcPr>
            <w:tcW w:w="5387" w:type="dxa"/>
            <w:tcBorders>
              <w:top w:val="nil"/>
              <w:bottom w:val="nil"/>
            </w:tcBorders>
          </w:tcPr>
          <w:p w14:paraId="5B85A6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(六)稽核人員應事前熟知受查單位之歷史背景、重要資料及以往稽核報告內容。</w:t>
            </w:r>
          </w:p>
        </w:tc>
        <w:tc>
          <w:tcPr>
            <w:tcW w:w="2023" w:type="dxa"/>
            <w:vMerge/>
            <w:tcBorders>
              <w:right w:val="single" w:sz="12" w:space="0" w:color="auto"/>
            </w:tcBorders>
          </w:tcPr>
          <w:p w14:paraId="314878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A8BD35" w14:textId="77777777">
        <w:tc>
          <w:tcPr>
            <w:tcW w:w="1384" w:type="dxa"/>
            <w:vMerge/>
            <w:tcBorders>
              <w:left w:val="single" w:sz="12" w:space="0" w:color="auto"/>
            </w:tcBorders>
          </w:tcPr>
          <w:p w14:paraId="5C5512A6" w14:textId="77777777" w:rsidR="003B3105" w:rsidRDefault="003B3105" w:rsidP="001E533B">
            <w:pPr>
              <w:rPr>
                <w:rFonts w:ascii="新細明體" w:eastAsia="新細明體" w:hAnsi="新細明體"/>
              </w:rPr>
            </w:pPr>
          </w:p>
        </w:tc>
        <w:tc>
          <w:tcPr>
            <w:tcW w:w="1276" w:type="dxa"/>
            <w:vMerge/>
          </w:tcPr>
          <w:p w14:paraId="46B9644A" w14:textId="77777777" w:rsidR="003B3105" w:rsidRDefault="003B3105" w:rsidP="001E533B">
            <w:pPr>
              <w:rPr>
                <w:rFonts w:ascii="新細明體" w:eastAsia="新細明體" w:hAnsi="新細明體"/>
              </w:rPr>
            </w:pPr>
          </w:p>
        </w:tc>
        <w:tc>
          <w:tcPr>
            <w:tcW w:w="5386" w:type="dxa"/>
            <w:tcBorders>
              <w:top w:val="nil"/>
              <w:bottom w:val="nil"/>
            </w:tcBorders>
          </w:tcPr>
          <w:p w14:paraId="514939A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(七)稽核人員對查核結果應予合理判斷，此</w:t>
            </w:r>
            <w:r>
              <w:rPr>
                <w:rFonts w:ascii="新細明體" w:eastAsia="新細明體" w:hAnsi="新細明體" w:cs="新細明體" w:hint="eastAsia"/>
              </w:rPr>
              <w:lastRenderedPageBreak/>
              <w:t>項判斷應有可靠之理論依據，獲得足夠而適切之證明。</w:t>
            </w:r>
          </w:p>
        </w:tc>
        <w:tc>
          <w:tcPr>
            <w:tcW w:w="5387" w:type="dxa"/>
            <w:tcBorders>
              <w:top w:val="nil"/>
              <w:bottom w:val="nil"/>
            </w:tcBorders>
          </w:tcPr>
          <w:p w14:paraId="0134D2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(七)稽核人員對查核結果應予合理判斷，此</w:t>
            </w:r>
            <w:r>
              <w:rPr>
                <w:rFonts w:ascii="新細明體" w:eastAsia="新細明體" w:hAnsi="新細明體" w:cs="新細明體" w:hint="eastAsia"/>
              </w:rPr>
              <w:lastRenderedPageBreak/>
              <w:t>項判斷應有可靠之理論依據，獲得足夠而適切之證明。</w:t>
            </w:r>
          </w:p>
        </w:tc>
        <w:tc>
          <w:tcPr>
            <w:tcW w:w="2023" w:type="dxa"/>
            <w:vMerge/>
            <w:tcBorders>
              <w:right w:val="single" w:sz="12" w:space="0" w:color="auto"/>
            </w:tcBorders>
          </w:tcPr>
          <w:p w14:paraId="6269DF4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BDD18A" w14:textId="77777777">
        <w:tc>
          <w:tcPr>
            <w:tcW w:w="1384" w:type="dxa"/>
            <w:vMerge/>
            <w:tcBorders>
              <w:left w:val="single" w:sz="12" w:space="0" w:color="auto"/>
            </w:tcBorders>
          </w:tcPr>
          <w:p w14:paraId="6E6F6195" w14:textId="77777777" w:rsidR="003B3105" w:rsidRDefault="003B3105" w:rsidP="001E533B">
            <w:pPr>
              <w:rPr>
                <w:rFonts w:ascii="新細明體" w:eastAsia="新細明體" w:hAnsi="新細明體"/>
              </w:rPr>
            </w:pPr>
          </w:p>
        </w:tc>
        <w:tc>
          <w:tcPr>
            <w:tcW w:w="1276" w:type="dxa"/>
            <w:vMerge/>
          </w:tcPr>
          <w:p w14:paraId="41FF8E56" w14:textId="77777777" w:rsidR="003B3105" w:rsidRDefault="003B3105" w:rsidP="001E533B">
            <w:pPr>
              <w:rPr>
                <w:rFonts w:ascii="新細明體" w:eastAsia="新細明體" w:hAnsi="新細明體"/>
              </w:rPr>
            </w:pPr>
          </w:p>
        </w:tc>
        <w:tc>
          <w:tcPr>
            <w:tcW w:w="5386" w:type="dxa"/>
            <w:tcBorders>
              <w:top w:val="nil"/>
              <w:bottom w:val="nil"/>
            </w:tcBorders>
          </w:tcPr>
          <w:p w14:paraId="040440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(八)稽核人員執行查核工作係接觸公司第一手機密檔案資料，應嚴格保密，並應提高警覺，注意文件安全，以防失落。</w:t>
            </w:r>
          </w:p>
        </w:tc>
        <w:tc>
          <w:tcPr>
            <w:tcW w:w="5387" w:type="dxa"/>
            <w:tcBorders>
              <w:top w:val="nil"/>
              <w:bottom w:val="nil"/>
            </w:tcBorders>
          </w:tcPr>
          <w:p w14:paraId="3236BD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(八)稽核人員執行查核工作係接觸公司第一手機密檔案資料，應嚴格保密，並應提高警覺，注意文件安全，以防失落。</w:t>
            </w:r>
          </w:p>
        </w:tc>
        <w:tc>
          <w:tcPr>
            <w:tcW w:w="2023" w:type="dxa"/>
            <w:vMerge/>
            <w:tcBorders>
              <w:right w:val="single" w:sz="12" w:space="0" w:color="auto"/>
            </w:tcBorders>
          </w:tcPr>
          <w:p w14:paraId="791E5C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B779EF" w14:textId="77777777">
        <w:tc>
          <w:tcPr>
            <w:tcW w:w="1384" w:type="dxa"/>
            <w:vMerge/>
            <w:tcBorders>
              <w:left w:val="single" w:sz="12" w:space="0" w:color="auto"/>
            </w:tcBorders>
          </w:tcPr>
          <w:p w14:paraId="391C4FCF" w14:textId="77777777" w:rsidR="003B3105" w:rsidRDefault="003B3105" w:rsidP="001E533B">
            <w:pPr>
              <w:rPr>
                <w:rFonts w:ascii="新細明體" w:eastAsia="新細明體" w:hAnsi="新細明體"/>
              </w:rPr>
            </w:pPr>
          </w:p>
        </w:tc>
        <w:tc>
          <w:tcPr>
            <w:tcW w:w="1276" w:type="dxa"/>
            <w:vMerge/>
          </w:tcPr>
          <w:p w14:paraId="0E2E8647" w14:textId="77777777" w:rsidR="003B3105" w:rsidRDefault="003B3105" w:rsidP="001E533B">
            <w:pPr>
              <w:rPr>
                <w:rFonts w:ascii="新細明體" w:eastAsia="新細明體" w:hAnsi="新細明體"/>
              </w:rPr>
            </w:pPr>
          </w:p>
        </w:tc>
        <w:tc>
          <w:tcPr>
            <w:tcW w:w="5386" w:type="dxa"/>
            <w:tcBorders>
              <w:top w:val="nil"/>
              <w:bottom w:val="nil"/>
            </w:tcBorders>
          </w:tcPr>
          <w:p w14:paraId="29E20F9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不設專職內部稽核人員規範：</w:t>
            </w:r>
          </w:p>
        </w:tc>
        <w:tc>
          <w:tcPr>
            <w:tcW w:w="5387" w:type="dxa"/>
            <w:tcBorders>
              <w:top w:val="nil"/>
              <w:bottom w:val="nil"/>
            </w:tcBorders>
          </w:tcPr>
          <w:p w14:paraId="607DA7E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十五、分</w:t>
            </w:r>
            <w:r>
              <w:rPr>
                <w:rFonts w:ascii="新細明體" w:eastAsia="新細明體" w:hAnsi="新細明體" w:cs="新細明體" w:hint="eastAsia"/>
                <w:b/>
                <w:color w:val="FF0000"/>
              </w:rPr>
              <w:t>公司</w:t>
            </w:r>
            <w:r>
              <w:rPr>
                <w:rFonts w:ascii="新細明體" w:eastAsia="新細明體" w:hAnsi="新細明體" w:cs="新細明體" w:hint="eastAsia"/>
              </w:rPr>
              <w:t>不設專職內部稽核人員規範：</w:t>
            </w:r>
          </w:p>
        </w:tc>
        <w:tc>
          <w:tcPr>
            <w:tcW w:w="2023" w:type="dxa"/>
            <w:vMerge/>
            <w:tcBorders>
              <w:right w:val="single" w:sz="12" w:space="0" w:color="auto"/>
            </w:tcBorders>
          </w:tcPr>
          <w:p w14:paraId="4F9EB5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D4D8B7" w14:textId="77777777">
        <w:tc>
          <w:tcPr>
            <w:tcW w:w="1384" w:type="dxa"/>
            <w:vMerge/>
            <w:tcBorders>
              <w:left w:val="single" w:sz="12" w:space="0" w:color="auto"/>
            </w:tcBorders>
          </w:tcPr>
          <w:p w14:paraId="17CD77F4" w14:textId="77777777" w:rsidR="003B3105" w:rsidRDefault="003B3105" w:rsidP="001E533B">
            <w:pPr>
              <w:rPr>
                <w:rFonts w:ascii="新細明體" w:eastAsia="新細明體" w:hAnsi="新細明體"/>
              </w:rPr>
            </w:pPr>
          </w:p>
        </w:tc>
        <w:tc>
          <w:tcPr>
            <w:tcW w:w="1276" w:type="dxa"/>
            <w:vMerge/>
          </w:tcPr>
          <w:p w14:paraId="407F92F9" w14:textId="77777777" w:rsidR="003B3105" w:rsidRDefault="003B3105" w:rsidP="001E533B">
            <w:pPr>
              <w:rPr>
                <w:rFonts w:ascii="新細明體" w:eastAsia="新細明體" w:hAnsi="新細明體"/>
              </w:rPr>
            </w:pPr>
          </w:p>
        </w:tc>
        <w:tc>
          <w:tcPr>
            <w:tcW w:w="5386" w:type="dxa"/>
            <w:tcBorders>
              <w:top w:val="nil"/>
              <w:bottom w:val="nil"/>
            </w:tcBorders>
          </w:tcPr>
          <w:p w14:paraId="7936314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公司基於本身業務及管理之考量，在不影響公司經營風險下，分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得不設專職之內部稽核人員，但必須指派專人辦理</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自行查核作業。公司採此種自行查核作業者，除應準用上述十至十四之規定外，自行查核人員之資格條件、人數配置、查核項目、頻率及格式與其他有關事項，並須符合下列規定：</w:t>
            </w:r>
          </w:p>
        </w:tc>
        <w:tc>
          <w:tcPr>
            <w:tcW w:w="5387" w:type="dxa"/>
            <w:tcBorders>
              <w:top w:val="nil"/>
              <w:bottom w:val="nil"/>
            </w:tcBorders>
          </w:tcPr>
          <w:p w14:paraId="2F0E1E7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公司基於本身業務及管理之考量，在不影響公司經營風險下，分</w:t>
            </w:r>
            <w:r>
              <w:rPr>
                <w:rFonts w:ascii="新細明體" w:eastAsia="新細明體" w:hAnsi="新細明體" w:cs="新細明體" w:hint="eastAsia"/>
                <w:b/>
                <w:color w:val="FF0000"/>
              </w:rPr>
              <w:t>公司</w:t>
            </w:r>
            <w:r>
              <w:rPr>
                <w:rFonts w:ascii="新細明體" w:eastAsia="新細明體" w:hAnsi="新細明體" w:cs="新細明體" w:hint="eastAsia"/>
              </w:rPr>
              <w:t>得不設專職之內部稽核人員，但必須指派專人辦理分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自行查核作業。公司採此種自行查核作業者，除應準用上述十至十四之規定外，自行查核人員之資格條件、人數配置、查核項目、頻率及格式與其他有關事項，並須符合下列規定：</w:t>
            </w:r>
          </w:p>
        </w:tc>
        <w:tc>
          <w:tcPr>
            <w:tcW w:w="2023" w:type="dxa"/>
            <w:vMerge/>
            <w:tcBorders>
              <w:right w:val="single" w:sz="12" w:space="0" w:color="auto"/>
            </w:tcBorders>
          </w:tcPr>
          <w:p w14:paraId="4BB32D1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F4CE81" w14:textId="77777777">
        <w:tc>
          <w:tcPr>
            <w:tcW w:w="1384" w:type="dxa"/>
            <w:vMerge/>
            <w:tcBorders>
              <w:left w:val="single" w:sz="12" w:space="0" w:color="auto"/>
            </w:tcBorders>
          </w:tcPr>
          <w:p w14:paraId="078AC1C5" w14:textId="77777777" w:rsidR="003B3105" w:rsidRDefault="003B3105" w:rsidP="001E533B">
            <w:pPr>
              <w:rPr>
                <w:rFonts w:ascii="新細明體" w:eastAsia="新細明體" w:hAnsi="新細明體"/>
              </w:rPr>
            </w:pPr>
          </w:p>
        </w:tc>
        <w:tc>
          <w:tcPr>
            <w:tcW w:w="1276" w:type="dxa"/>
            <w:vMerge/>
          </w:tcPr>
          <w:p w14:paraId="71385B82" w14:textId="77777777" w:rsidR="003B3105" w:rsidRDefault="003B3105" w:rsidP="001E533B">
            <w:pPr>
              <w:rPr>
                <w:rFonts w:ascii="新細明體" w:eastAsia="新細明體" w:hAnsi="新細明體"/>
              </w:rPr>
            </w:pPr>
          </w:p>
        </w:tc>
        <w:tc>
          <w:tcPr>
            <w:tcW w:w="5386" w:type="dxa"/>
            <w:tcBorders>
              <w:top w:val="nil"/>
              <w:bottom w:val="nil"/>
            </w:tcBorders>
          </w:tcPr>
          <w:p w14:paraId="1A1B8C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(一)自行查核人員之資格條件及人數配置：有關分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非專職之查核人員，除應具備業務員或高級業務員資格外，至少須由曾參加證基會或券商公會舉辦之「內部稽核講習」研習結業並經考試及格者。經指定之查核人員，不得就自己經辦之業務進行查核，每一</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應置自行查核人員至少為二人，並應經登記為各該分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業務員或高級業務員。</w:t>
            </w:r>
          </w:p>
        </w:tc>
        <w:tc>
          <w:tcPr>
            <w:tcW w:w="5387" w:type="dxa"/>
            <w:tcBorders>
              <w:top w:val="nil"/>
              <w:bottom w:val="nil"/>
            </w:tcBorders>
          </w:tcPr>
          <w:p w14:paraId="2DDF6C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(一)自行查核人員之資格條件及人數配置：有關分</w:t>
            </w:r>
            <w:r>
              <w:rPr>
                <w:rFonts w:ascii="新細明體" w:eastAsia="新細明體" w:hAnsi="新細明體" w:cs="新細明體" w:hint="eastAsia"/>
                <w:b/>
                <w:color w:val="FF0000"/>
              </w:rPr>
              <w:t>公司</w:t>
            </w:r>
            <w:r>
              <w:rPr>
                <w:rFonts w:ascii="新細明體" w:eastAsia="新細明體" w:hAnsi="新細明體" w:cs="新細明體" w:hint="eastAsia"/>
              </w:rPr>
              <w:t>非專職之查核人員，除應具備業務員或高級業務員資格外，至少須由曾參加證基會或券商公會舉辦之「內部稽核講習」研習結業並經考試及格者。經指定之查核人員，不得就自己經辦之業務進行查核，每一分</w:t>
            </w:r>
            <w:r>
              <w:rPr>
                <w:rFonts w:ascii="新細明體" w:eastAsia="新細明體" w:hAnsi="新細明體" w:cs="新細明體" w:hint="eastAsia"/>
                <w:b/>
                <w:color w:val="FF0000"/>
              </w:rPr>
              <w:t>公司</w:t>
            </w:r>
            <w:r>
              <w:rPr>
                <w:rFonts w:ascii="新細明體" w:eastAsia="新細明體" w:hAnsi="新細明體" w:cs="新細明體" w:hint="eastAsia"/>
              </w:rPr>
              <w:t>應置自行查核人員至少為二人，並應經登記為各該分</w:t>
            </w:r>
            <w:r>
              <w:rPr>
                <w:rFonts w:ascii="新細明體" w:eastAsia="新細明體" w:hAnsi="新細明體" w:cs="新細明體" w:hint="eastAsia"/>
                <w:b/>
                <w:color w:val="FF0000"/>
              </w:rPr>
              <w:t>公司</w:t>
            </w:r>
            <w:r>
              <w:rPr>
                <w:rFonts w:ascii="新細明體" w:eastAsia="新細明體" w:hAnsi="新細明體" w:cs="新細明體" w:hint="eastAsia"/>
              </w:rPr>
              <w:t>業務員或高級業務員。</w:t>
            </w:r>
          </w:p>
        </w:tc>
        <w:tc>
          <w:tcPr>
            <w:tcW w:w="2023" w:type="dxa"/>
            <w:vMerge/>
            <w:tcBorders>
              <w:right w:val="single" w:sz="12" w:space="0" w:color="auto"/>
            </w:tcBorders>
          </w:tcPr>
          <w:p w14:paraId="6F5640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60503E" w14:textId="77777777">
        <w:tc>
          <w:tcPr>
            <w:tcW w:w="1384" w:type="dxa"/>
            <w:vMerge/>
            <w:tcBorders>
              <w:left w:val="single" w:sz="12" w:space="0" w:color="auto"/>
            </w:tcBorders>
          </w:tcPr>
          <w:p w14:paraId="7CA315A2" w14:textId="77777777" w:rsidR="003B3105" w:rsidRDefault="003B3105" w:rsidP="001E533B">
            <w:pPr>
              <w:rPr>
                <w:rFonts w:ascii="新細明體" w:eastAsia="新細明體" w:hAnsi="新細明體"/>
              </w:rPr>
            </w:pPr>
          </w:p>
        </w:tc>
        <w:tc>
          <w:tcPr>
            <w:tcW w:w="1276" w:type="dxa"/>
            <w:vMerge/>
          </w:tcPr>
          <w:p w14:paraId="1781E1D6" w14:textId="77777777" w:rsidR="003B3105" w:rsidRDefault="003B3105" w:rsidP="001E533B">
            <w:pPr>
              <w:rPr>
                <w:rFonts w:ascii="新細明體" w:eastAsia="新細明體" w:hAnsi="新細明體"/>
              </w:rPr>
            </w:pPr>
          </w:p>
        </w:tc>
        <w:tc>
          <w:tcPr>
            <w:tcW w:w="5386" w:type="dxa"/>
            <w:tcBorders>
              <w:top w:val="nil"/>
              <w:bottom w:val="nil"/>
            </w:tcBorders>
          </w:tcPr>
          <w:p w14:paraId="6CC19D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(二)查核項目、頻率及格式：分</w:t>
            </w:r>
            <w:r>
              <w:rPr>
                <w:rFonts w:ascii="新細明體" w:eastAsia="新細明體" w:hAnsi="新細明體" w:cs="新細明體" w:hint="eastAsia"/>
                <w:b/>
                <w:color w:val="FF0000"/>
                <w:u w:val="single"/>
              </w:rPr>
              <w:t>支機構或簡</w:t>
            </w:r>
            <w:r>
              <w:rPr>
                <w:rFonts w:ascii="新細明體" w:eastAsia="新細明體" w:hAnsi="新細明體" w:cs="新細明體" w:hint="eastAsia"/>
                <w:b/>
                <w:color w:val="FF0000"/>
                <w:u w:val="single"/>
              </w:rPr>
              <w:lastRenderedPageBreak/>
              <w:t>易分支機構</w:t>
            </w:r>
            <w:r>
              <w:rPr>
                <w:rFonts w:ascii="新細明體" w:eastAsia="新細明體" w:hAnsi="新細明體" w:cs="新細明體" w:hint="eastAsia"/>
              </w:rPr>
              <w:t>辦理自行查核作業，其查核項目、頻率及格式均比照現行證券商內部稽核報告（含查核明細表、查核工作底稿及相關資料等）相關規範內容辦理。</w:t>
            </w:r>
          </w:p>
        </w:tc>
        <w:tc>
          <w:tcPr>
            <w:tcW w:w="5387" w:type="dxa"/>
            <w:tcBorders>
              <w:top w:val="nil"/>
              <w:bottom w:val="nil"/>
            </w:tcBorders>
          </w:tcPr>
          <w:p w14:paraId="5AC3C0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(二)查核項目、頻率及格式：分</w:t>
            </w:r>
            <w:r>
              <w:rPr>
                <w:rFonts w:ascii="新細明體" w:eastAsia="新細明體" w:hAnsi="新細明體" w:cs="新細明體" w:hint="eastAsia"/>
                <w:b/>
                <w:color w:val="FF0000"/>
              </w:rPr>
              <w:t>公司</w:t>
            </w:r>
            <w:r>
              <w:rPr>
                <w:rFonts w:ascii="新細明體" w:eastAsia="新細明體" w:hAnsi="新細明體" w:cs="新細明體" w:hint="eastAsia"/>
              </w:rPr>
              <w:t>辦理自</w:t>
            </w:r>
            <w:r>
              <w:rPr>
                <w:rFonts w:ascii="新細明體" w:eastAsia="新細明體" w:hAnsi="新細明體" w:cs="新細明體" w:hint="eastAsia"/>
              </w:rPr>
              <w:lastRenderedPageBreak/>
              <w:t>行查核作業，其查核項目、頻率及格式均比照現行證券商內部稽核報告（含查核明細表、查核工作底稿及相關資料等）相關規範內容辦理。</w:t>
            </w:r>
          </w:p>
        </w:tc>
        <w:tc>
          <w:tcPr>
            <w:tcW w:w="2023" w:type="dxa"/>
            <w:vMerge/>
            <w:tcBorders>
              <w:right w:val="single" w:sz="12" w:space="0" w:color="auto"/>
            </w:tcBorders>
          </w:tcPr>
          <w:p w14:paraId="22CDB3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FA40E9" w14:textId="77777777">
        <w:tc>
          <w:tcPr>
            <w:tcW w:w="1384" w:type="dxa"/>
            <w:vMerge/>
            <w:tcBorders>
              <w:left w:val="single" w:sz="12" w:space="0" w:color="auto"/>
            </w:tcBorders>
          </w:tcPr>
          <w:p w14:paraId="31F33483" w14:textId="77777777" w:rsidR="003B3105" w:rsidRDefault="003B3105" w:rsidP="001E533B">
            <w:pPr>
              <w:rPr>
                <w:rFonts w:ascii="新細明體" w:eastAsia="新細明體" w:hAnsi="新細明體"/>
              </w:rPr>
            </w:pPr>
          </w:p>
        </w:tc>
        <w:tc>
          <w:tcPr>
            <w:tcW w:w="1276" w:type="dxa"/>
            <w:vMerge/>
          </w:tcPr>
          <w:p w14:paraId="5A326532" w14:textId="77777777" w:rsidR="003B3105" w:rsidRDefault="003B3105" w:rsidP="001E533B">
            <w:pPr>
              <w:rPr>
                <w:rFonts w:ascii="新細明體" w:eastAsia="新細明體" w:hAnsi="新細明體"/>
              </w:rPr>
            </w:pPr>
          </w:p>
        </w:tc>
        <w:tc>
          <w:tcPr>
            <w:tcW w:w="5386" w:type="dxa"/>
            <w:tcBorders>
              <w:top w:val="nil"/>
              <w:bottom w:val="nil"/>
            </w:tcBorders>
          </w:tcPr>
          <w:p w14:paraId="5A6126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(三)公司採專人辦理分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自行查核作業者，應加強</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之督導查核，方式如下：</w:t>
            </w:r>
          </w:p>
        </w:tc>
        <w:tc>
          <w:tcPr>
            <w:tcW w:w="5387" w:type="dxa"/>
            <w:tcBorders>
              <w:top w:val="nil"/>
              <w:bottom w:val="nil"/>
            </w:tcBorders>
          </w:tcPr>
          <w:p w14:paraId="5C1589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(三)公司採專人辦理分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自行查核作業者，應加強分</w:t>
            </w:r>
            <w:r>
              <w:rPr>
                <w:rFonts w:ascii="新細明體" w:eastAsia="新細明體" w:hAnsi="新細明體" w:cs="新細明體" w:hint="eastAsia"/>
                <w:b/>
                <w:color w:val="FF0000"/>
              </w:rPr>
              <w:t>公司</w:t>
            </w:r>
            <w:r>
              <w:rPr>
                <w:rFonts w:ascii="新細明體" w:eastAsia="新細明體" w:hAnsi="新細明體" w:cs="新細明體" w:hint="eastAsia"/>
              </w:rPr>
              <w:t>之督導查核，方式如下：</w:t>
            </w:r>
          </w:p>
        </w:tc>
        <w:tc>
          <w:tcPr>
            <w:tcW w:w="2023" w:type="dxa"/>
            <w:vMerge/>
            <w:tcBorders>
              <w:right w:val="single" w:sz="12" w:space="0" w:color="auto"/>
            </w:tcBorders>
          </w:tcPr>
          <w:p w14:paraId="415528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90C5FF" w14:textId="77777777">
        <w:tc>
          <w:tcPr>
            <w:tcW w:w="1384" w:type="dxa"/>
            <w:vMerge/>
            <w:tcBorders>
              <w:left w:val="single" w:sz="12" w:space="0" w:color="auto"/>
            </w:tcBorders>
          </w:tcPr>
          <w:p w14:paraId="6D9935A2" w14:textId="77777777" w:rsidR="003B3105" w:rsidRDefault="003B3105" w:rsidP="001E533B">
            <w:pPr>
              <w:rPr>
                <w:rFonts w:ascii="新細明體" w:eastAsia="新細明體" w:hAnsi="新細明體"/>
              </w:rPr>
            </w:pPr>
          </w:p>
        </w:tc>
        <w:tc>
          <w:tcPr>
            <w:tcW w:w="1276" w:type="dxa"/>
            <w:vMerge/>
          </w:tcPr>
          <w:p w14:paraId="29AB85F5" w14:textId="77777777" w:rsidR="003B3105" w:rsidRDefault="003B3105" w:rsidP="001E533B">
            <w:pPr>
              <w:rPr>
                <w:rFonts w:ascii="新細明體" w:eastAsia="新細明體" w:hAnsi="新細明體"/>
              </w:rPr>
            </w:pPr>
          </w:p>
        </w:tc>
        <w:tc>
          <w:tcPr>
            <w:tcW w:w="5386" w:type="dxa"/>
            <w:tcBorders>
              <w:top w:val="nil"/>
              <w:bottom w:val="nil"/>
            </w:tcBorders>
          </w:tcPr>
          <w:p w14:paraId="343ED67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1.內部稽核作業（自行查核作業）之督導查核：由總公司指派內部稽核人員至少每半年對每家分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至少依「查核</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分支機構內部稽核作業評核表」項目查核一次。</w:t>
            </w:r>
          </w:p>
        </w:tc>
        <w:tc>
          <w:tcPr>
            <w:tcW w:w="5387" w:type="dxa"/>
            <w:tcBorders>
              <w:top w:val="nil"/>
              <w:bottom w:val="nil"/>
            </w:tcBorders>
          </w:tcPr>
          <w:p w14:paraId="69B600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1.內部稽核作業（自行查核作業）之督導查核：由總公司指派內部稽核人員至少每半年對每家分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至少依「查核分支機構內部稽核作業評核表」項目查核一次。</w:t>
            </w:r>
          </w:p>
        </w:tc>
        <w:tc>
          <w:tcPr>
            <w:tcW w:w="2023" w:type="dxa"/>
            <w:vMerge/>
            <w:tcBorders>
              <w:right w:val="single" w:sz="12" w:space="0" w:color="auto"/>
            </w:tcBorders>
          </w:tcPr>
          <w:p w14:paraId="064978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B172F4" w14:textId="77777777">
        <w:tc>
          <w:tcPr>
            <w:tcW w:w="1384" w:type="dxa"/>
            <w:vMerge/>
            <w:tcBorders>
              <w:left w:val="single" w:sz="12" w:space="0" w:color="auto"/>
            </w:tcBorders>
          </w:tcPr>
          <w:p w14:paraId="0C08B7F5" w14:textId="77777777" w:rsidR="003B3105" w:rsidRDefault="003B3105" w:rsidP="001E533B">
            <w:pPr>
              <w:rPr>
                <w:rFonts w:ascii="新細明體" w:eastAsia="新細明體" w:hAnsi="新細明體"/>
              </w:rPr>
            </w:pPr>
          </w:p>
        </w:tc>
        <w:tc>
          <w:tcPr>
            <w:tcW w:w="1276" w:type="dxa"/>
            <w:vMerge/>
          </w:tcPr>
          <w:p w14:paraId="4585F032" w14:textId="77777777" w:rsidR="003B3105" w:rsidRDefault="003B3105" w:rsidP="001E533B">
            <w:pPr>
              <w:rPr>
                <w:rFonts w:ascii="新細明體" w:eastAsia="新細明體" w:hAnsi="新細明體"/>
              </w:rPr>
            </w:pPr>
          </w:p>
        </w:tc>
        <w:tc>
          <w:tcPr>
            <w:tcW w:w="5386" w:type="dxa"/>
            <w:tcBorders>
              <w:top w:val="nil"/>
              <w:bottom w:val="nil"/>
            </w:tcBorders>
          </w:tcPr>
          <w:p w14:paraId="3E5C7ED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2.財務業務作業之督導查核得自下列(1)(2)擇一辦理：</w:t>
            </w:r>
          </w:p>
        </w:tc>
        <w:tc>
          <w:tcPr>
            <w:tcW w:w="5387" w:type="dxa"/>
            <w:tcBorders>
              <w:top w:val="nil"/>
              <w:bottom w:val="nil"/>
            </w:tcBorders>
          </w:tcPr>
          <w:p w14:paraId="7D7BAF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2.財務業務作業之督導查核得自下列(1)(2)擇一辦理：</w:t>
            </w:r>
          </w:p>
        </w:tc>
        <w:tc>
          <w:tcPr>
            <w:tcW w:w="2023" w:type="dxa"/>
            <w:vMerge/>
            <w:tcBorders>
              <w:right w:val="single" w:sz="12" w:space="0" w:color="auto"/>
            </w:tcBorders>
          </w:tcPr>
          <w:p w14:paraId="0D149C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2DA379" w14:textId="77777777">
        <w:tc>
          <w:tcPr>
            <w:tcW w:w="1384" w:type="dxa"/>
            <w:vMerge/>
            <w:tcBorders>
              <w:left w:val="single" w:sz="12" w:space="0" w:color="auto"/>
            </w:tcBorders>
          </w:tcPr>
          <w:p w14:paraId="3493FB5E" w14:textId="77777777" w:rsidR="003B3105" w:rsidRDefault="003B3105" w:rsidP="001E533B">
            <w:pPr>
              <w:rPr>
                <w:rFonts w:ascii="新細明體" w:eastAsia="新細明體" w:hAnsi="新細明體"/>
              </w:rPr>
            </w:pPr>
          </w:p>
        </w:tc>
        <w:tc>
          <w:tcPr>
            <w:tcW w:w="1276" w:type="dxa"/>
            <w:vMerge/>
          </w:tcPr>
          <w:p w14:paraId="2C1F213D" w14:textId="77777777" w:rsidR="003B3105" w:rsidRDefault="003B3105" w:rsidP="001E533B">
            <w:pPr>
              <w:rPr>
                <w:rFonts w:ascii="新細明體" w:eastAsia="新細明體" w:hAnsi="新細明體"/>
              </w:rPr>
            </w:pPr>
          </w:p>
        </w:tc>
        <w:tc>
          <w:tcPr>
            <w:tcW w:w="5386" w:type="dxa"/>
            <w:tcBorders>
              <w:top w:val="nil"/>
              <w:bottom w:val="nil"/>
            </w:tcBorders>
          </w:tcPr>
          <w:p w14:paraId="414ADDB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(1)由總公司指派內部稽核人員至少每半年對每家分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至少依「查核分支機構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財務業務作業報告表」項目實際查核一次，不得以複核方式辦理。公司並應視管理需要及分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實際狀況，加強查核之項目（例如過去曾發生之重大缺失事項）、頻率及深度。</w:t>
            </w:r>
          </w:p>
        </w:tc>
        <w:tc>
          <w:tcPr>
            <w:tcW w:w="5387" w:type="dxa"/>
            <w:tcBorders>
              <w:top w:val="nil"/>
              <w:bottom w:val="nil"/>
            </w:tcBorders>
          </w:tcPr>
          <w:p w14:paraId="7028133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(1)由總公司指派內部稽核人員至少每半年對每家分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至少依「查核分支機構財務業務作業報告表」項目實際查核一次，不得以複核方式辦理。公司並應視管理需要及分</w:t>
            </w:r>
            <w:r>
              <w:rPr>
                <w:rFonts w:ascii="新細明體" w:eastAsia="新細明體" w:hAnsi="新細明體" w:cs="新細明體" w:hint="eastAsia"/>
                <w:b/>
                <w:color w:val="FF0000"/>
              </w:rPr>
              <w:t>公司</w:t>
            </w:r>
            <w:r>
              <w:rPr>
                <w:rFonts w:ascii="新細明體" w:eastAsia="新細明體" w:hAnsi="新細明體" w:cs="新細明體" w:hint="eastAsia"/>
              </w:rPr>
              <w:t>實際狀況，加強查核之項目（例如過去曾發生之重大缺失事項）、頻率及深度。</w:t>
            </w:r>
          </w:p>
        </w:tc>
        <w:tc>
          <w:tcPr>
            <w:tcW w:w="2023" w:type="dxa"/>
            <w:vMerge/>
            <w:tcBorders>
              <w:right w:val="single" w:sz="12" w:space="0" w:color="auto"/>
            </w:tcBorders>
          </w:tcPr>
          <w:p w14:paraId="4C76E4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371619" w14:textId="77777777">
        <w:tc>
          <w:tcPr>
            <w:tcW w:w="1384" w:type="dxa"/>
            <w:vMerge/>
            <w:tcBorders>
              <w:left w:val="single" w:sz="12" w:space="0" w:color="auto"/>
            </w:tcBorders>
          </w:tcPr>
          <w:p w14:paraId="59E50829" w14:textId="77777777" w:rsidR="003B3105" w:rsidRDefault="003B3105" w:rsidP="001E533B">
            <w:pPr>
              <w:rPr>
                <w:rFonts w:ascii="新細明體" w:eastAsia="新細明體" w:hAnsi="新細明體"/>
              </w:rPr>
            </w:pPr>
          </w:p>
        </w:tc>
        <w:tc>
          <w:tcPr>
            <w:tcW w:w="1276" w:type="dxa"/>
            <w:vMerge/>
          </w:tcPr>
          <w:p w14:paraId="4276F75E" w14:textId="77777777" w:rsidR="003B3105" w:rsidRDefault="003B3105" w:rsidP="001E533B">
            <w:pPr>
              <w:rPr>
                <w:rFonts w:ascii="新細明體" w:eastAsia="新細明體" w:hAnsi="新細明體"/>
              </w:rPr>
            </w:pPr>
          </w:p>
        </w:tc>
        <w:tc>
          <w:tcPr>
            <w:tcW w:w="5386" w:type="dxa"/>
            <w:tcBorders>
              <w:top w:val="nil"/>
              <w:bottom w:val="nil"/>
            </w:tcBorders>
          </w:tcPr>
          <w:p w14:paraId="68FCAF4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(2)公司應於每年底前檢附下列乙項之相關資料向證交所函報次一年</w:t>
            </w:r>
            <w:r>
              <w:rPr>
                <w:rFonts w:ascii="新細明體" w:eastAsia="新細明體" w:hAnsi="新細明體" w:cs="新細明體" w:hint="eastAsia"/>
              </w:rPr>
              <w:lastRenderedPageBreak/>
              <w:t>度另以「財務業務作業專案查核」取代一次「查核分支機構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財務業務作業報告表」，並依下列事項辦理：</w:t>
            </w:r>
          </w:p>
        </w:tc>
        <w:tc>
          <w:tcPr>
            <w:tcW w:w="5387" w:type="dxa"/>
            <w:tcBorders>
              <w:top w:val="nil"/>
              <w:bottom w:val="nil"/>
            </w:tcBorders>
          </w:tcPr>
          <w:p w14:paraId="40DC563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(2)公司應於每年底前檢附下列乙項之相關資料向證交所函報次一年</w:t>
            </w:r>
            <w:r>
              <w:rPr>
                <w:rFonts w:ascii="新細明體" w:eastAsia="新細明體" w:hAnsi="新細明體" w:cs="新細明體" w:hint="eastAsia"/>
              </w:rPr>
              <w:lastRenderedPageBreak/>
              <w:t>度另以「財務業務作業專案查核」取代一次「查核分支機構財務業務作業報告表」，並依下列事項辦理：</w:t>
            </w:r>
          </w:p>
        </w:tc>
        <w:tc>
          <w:tcPr>
            <w:tcW w:w="2023" w:type="dxa"/>
            <w:vMerge/>
            <w:tcBorders>
              <w:right w:val="single" w:sz="12" w:space="0" w:color="auto"/>
            </w:tcBorders>
          </w:tcPr>
          <w:p w14:paraId="5FE42A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93914F" w14:textId="77777777">
        <w:tc>
          <w:tcPr>
            <w:tcW w:w="1384" w:type="dxa"/>
            <w:vMerge/>
            <w:tcBorders>
              <w:left w:val="single" w:sz="12" w:space="0" w:color="auto"/>
            </w:tcBorders>
          </w:tcPr>
          <w:p w14:paraId="0F57A649" w14:textId="77777777" w:rsidR="003B3105" w:rsidRDefault="003B3105" w:rsidP="001E533B">
            <w:pPr>
              <w:rPr>
                <w:rFonts w:ascii="新細明體" w:eastAsia="新細明體" w:hAnsi="新細明體"/>
              </w:rPr>
            </w:pPr>
          </w:p>
        </w:tc>
        <w:tc>
          <w:tcPr>
            <w:tcW w:w="1276" w:type="dxa"/>
            <w:vMerge/>
          </w:tcPr>
          <w:p w14:paraId="3092F2E5" w14:textId="77777777" w:rsidR="003B3105" w:rsidRDefault="003B3105" w:rsidP="001E533B">
            <w:pPr>
              <w:rPr>
                <w:rFonts w:ascii="新細明體" w:eastAsia="新細明體" w:hAnsi="新細明體"/>
              </w:rPr>
            </w:pPr>
          </w:p>
        </w:tc>
        <w:tc>
          <w:tcPr>
            <w:tcW w:w="5386" w:type="dxa"/>
            <w:tcBorders>
              <w:top w:val="nil"/>
              <w:bottom w:val="nil"/>
            </w:tcBorders>
          </w:tcPr>
          <w:p w14:paraId="107D13C3"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A.由總公司指派內部稽核人員每年對每家分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至少依「查核</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分支機構財務業務作業報告表」項目實際查核一次，不得以複核方式辦理，且受查期間應含括前一次查核日至本次查核日前一日止。</w:t>
            </w:r>
          </w:p>
        </w:tc>
        <w:tc>
          <w:tcPr>
            <w:tcW w:w="5387" w:type="dxa"/>
            <w:tcBorders>
              <w:top w:val="nil"/>
              <w:bottom w:val="nil"/>
            </w:tcBorders>
          </w:tcPr>
          <w:p w14:paraId="296BC7C7"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A.由總公司指派內部稽核人員每年對每家分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至少依「查核分支機構財務業務作業報告表」項目實際查核一次，不得以複核方式辦理，且受查期間應含括前一次查核日至本次查核日前一日止。</w:t>
            </w:r>
          </w:p>
        </w:tc>
        <w:tc>
          <w:tcPr>
            <w:tcW w:w="2023" w:type="dxa"/>
            <w:vMerge/>
            <w:tcBorders>
              <w:right w:val="single" w:sz="12" w:space="0" w:color="auto"/>
            </w:tcBorders>
          </w:tcPr>
          <w:p w14:paraId="26DBF0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2701A7" w14:textId="77777777">
        <w:tc>
          <w:tcPr>
            <w:tcW w:w="1384" w:type="dxa"/>
            <w:vMerge/>
            <w:tcBorders>
              <w:left w:val="single" w:sz="12" w:space="0" w:color="auto"/>
            </w:tcBorders>
          </w:tcPr>
          <w:p w14:paraId="5E3A64F4" w14:textId="77777777" w:rsidR="003B3105" w:rsidRDefault="003B3105" w:rsidP="001E533B">
            <w:pPr>
              <w:rPr>
                <w:rFonts w:ascii="新細明體" w:eastAsia="新細明體" w:hAnsi="新細明體"/>
              </w:rPr>
            </w:pPr>
          </w:p>
        </w:tc>
        <w:tc>
          <w:tcPr>
            <w:tcW w:w="1276" w:type="dxa"/>
            <w:vMerge/>
          </w:tcPr>
          <w:p w14:paraId="013FDC01" w14:textId="77777777" w:rsidR="003B3105" w:rsidRDefault="003B3105" w:rsidP="001E533B">
            <w:pPr>
              <w:rPr>
                <w:rFonts w:ascii="新細明體" w:eastAsia="新細明體" w:hAnsi="新細明體"/>
              </w:rPr>
            </w:pPr>
          </w:p>
        </w:tc>
        <w:tc>
          <w:tcPr>
            <w:tcW w:w="5386" w:type="dxa"/>
            <w:tcBorders>
              <w:top w:val="nil"/>
              <w:bottom w:val="nil"/>
            </w:tcBorders>
          </w:tcPr>
          <w:p w14:paraId="09E7D368"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B.由總公司指派內部稽核人員每年對每家分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辦理一次「財務業務作業專案查核」，受查期間至少應含括查核日前完整六個月，專案查核項目應參酌下列事項據以規劃查核重點並設計查核項目，且留存評估紀錄：</w:t>
            </w:r>
          </w:p>
        </w:tc>
        <w:tc>
          <w:tcPr>
            <w:tcW w:w="5387" w:type="dxa"/>
            <w:tcBorders>
              <w:top w:val="nil"/>
              <w:bottom w:val="nil"/>
            </w:tcBorders>
          </w:tcPr>
          <w:p w14:paraId="1DA5E35F"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B.由總公司指派內部稽核人員每年對每家分</w:t>
            </w:r>
            <w:r>
              <w:rPr>
                <w:rFonts w:ascii="新細明體" w:eastAsia="新細明體" w:hAnsi="新細明體" w:cs="新細明體" w:hint="eastAsia"/>
                <w:b/>
                <w:color w:val="FF0000"/>
              </w:rPr>
              <w:t>公司</w:t>
            </w:r>
            <w:r>
              <w:rPr>
                <w:rFonts w:ascii="新細明體" w:eastAsia="新細明體" w:hAnsi="新細明體" w:cs="新細明體" w:hint="eastAsia"/>
              </w:rPr>
              <w:t>辦理一次「財務業務作業專案查核」，受查期間至少應含括查核日前完整六個月，專案查核項目應參酌下列事項據以規劃查核重點並設計查核項目，且留存評估紀錄：</w:t>
            </w:r>
          </w:p>
        </w:tc>
        <w:tc>
          <w:tcPr>
            <w:tcW w:w="2023" w:type="dxa"/>
            <w:vMerge/>
            <w:tcBorders>
              <w:right w:val="single" w:sz="12" w:space="0" w:color="auto"/>
            </w:tcBorders>
          </w:tcPr>
          <w:p w14:paraId="001087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1F45E1" w14:textId="77777777">
        <w:tc>
          <w:tcPr>
            <w:tcW w:w="1384" w:type="dxa"/>
            <w:vMerge/>
            <w:tcBorders>
              <w:left w:val="single" w:sz="12" w:space="0" w:color="auto"/>
            </w:tcBorders>
          </w:tcPr>
          <w:p w14:paraId="1477183C" w14:textId="77777777" w:rsidR="003B3105" w:rsidRDefault="003B3105" w:rsidP="001E533B">
            <w:pPr>
              <w:rPr>
                <w:rFonts w:ascii="新細明體" w:eastAsia="新細明體" w:hAnsi="新細明體"/>
              </w:rPr>
            </w:pPr>
          </w:p>
        </w:tc>
        <w:tc>
          <w:tcPr>
            <w:tcW w:w="1276" w:type="dxa"/>
            <w:vMerge/>
          </w:tcPr>
          <w:p w14:paraId="37E973E5" w14:textId="77777777" w:rsidR="003B3105" w:rsidRDefault="003B3105" w:rsidP="001E533B">
            <w:pPr>
              <w:rPr>
                <w:rFonts w:ascii="新細明體" w:eastAsia="新細明體" w:hAnsi="新細明體"/>
              </w:rPr>
            </w:pPr>
          </w:p>
        </w:tc>
        <w:tc>
          <w:tcPr>
            <w:tcW w:w="5386" w:type="dxa"/>
            <w:tcBorders>
              <w:top w:val="nil"/>
              <w:bottom w:val="nil"/>
            </w:tcBorders>
          </w:tcPr>
          <w:p w14:paraId="120FE9C6"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(a)就內部業務性質、作業流程等，以風險為基礎，辨識公司高風險項目。</w:t>
            </w:r>
          </w:p>
        </w:tc>
        <w:tc>
          <w:tcPr>
            <w:tcW w:w="5387" w:type="dxa"/>
            <w:tcBorders>
              <w:top w:val="nil"/>
              <w:bottom w:val="nil"/>
            </w:tcBorders>
          </w:tcPr>
          <w:p w14:paraId="078804DC"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(a)就內部業務性質、作業流程等，以風險為基礎，辨識公司高風險項目。</w:t>
            </w:r>
          </w:p>
        </w:tc>
        <w:tc>
          <w:tcPr>
            <w:tcW w:w="2023" w:type="dxa"/>
            <w:vMerge/>
            <w:tcBorders>
              <w:right w:val="single" w:sz="12" w:space="0" w:color="auto"/>
            </w:tcBorders>
          </w:tcPr>
          <w:p w14:paraId="082F1A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A2ACC5" w14:textId="77777777">
        <w:tc>
          <w:tcPr>
            <w:tcW w:w="1384" w:type="dxa"/>
            <w:vMerge/>
            <w:tcBorders>
              <w:left w:val="single" w:sz="12" w:space="0" w:color="auto"/>
            </w:tcBorders>
          </w:tcPr>
          <w:p w14:paraId="54C872D9" w14:textId="77777777" w:rsidR="003B3105" w:rsidRDefault="003B3105" w:rsidP="001E533B">
            <w:pPr>
              <w:rPr>
                <w:rFonts w:ascii="新細明體" w:eastAsia="新細明體" w:hAnsi="新細明體"/>
              </w:rPr>
            </w:pPr>
          </w:p>
        </w:tc>
        <w:tc>
          <w:tcPr>
            <w:tcW w:w="1276" w:type="dxa"/>
            <w:vMerge/>
          </w:tcPr>
          <w:p w14:paraId="28EACBD2" w14:textId="77777777" w:rsidR="003B3105" w:rsidRDefault="003B3105" w:rsidP="001E533B">
            <w:pPr>
              <w:rPr>
                <w:rFonts w:ascii="新細明體" w:eastAsia="新細明體" w:hAnsi="新細明體"/>
              </w:rPr>
            </w:pPr>
          </w:p>
        </w:tc>
        <w:tc>
          <w:tcPr>
            <w:tcW w:w="5386" w:type="dxa"/>
            <w:tcBorders>
              <w:top w:val="nil"/>
              <w:bottom w:val="nil"/>
            </w:tcBorders>
          </w:tcPr>
          <w:p w14:paraId="5299FAB9"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(b)參考近期同業、自身重大違失項目或主管機關之</w:t>
            </w:r>
            <w:r>
              <w:rPr>
                <w:rFonts w:ascii="新細明體" w:eastAsia="新細明體" w:hAnsi="新細明體" w:cs="新細明體" w:hint="eastAsia"/>
              </w:rPr>
              <w:lastRenderedPageBreak/>
              <w:t>年度檢查重點。</w:t>
            </w:r>
          </w:p>
        </w:tc>
        <w:tc>
          <w:tcPr>
            <w:tcW w:w="5387" w:type="dxa"/>
            <w:tcBorders>
              <w:top w:val="nil"/>
              <w:bottom w:val="nil"/>
            </w:tcBorders>
          </w:tcPr>
          <w:p w14:paraId="78347753"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lastRenderedPageBreak/>
              <w:t>(b)參考近期同業、自身重大違失項目或主管機關之</w:t>
            </w:r>
            <w:r>
              <w:rPr>
                <w:rFonts w:ascii="新細明體" w:eastAsia="新細明體" w:hAnsi="新細明體" w:cs="新細明體" w:hint="eastAsia"/>
              </w:rPr>
              <w:lastRenderedPageBreak/>
              <w:t>年度檢查重點。</w:t>
            </w:r>
          </w:p>
        </w:tc>
        <w:tc>
          <w:tcPr>
            <w:tcW w:w="2023" w:type="dxa"/>
            <w:vMerge/>
            <w:tcBorders>
              <w:right w:val="single" w:sz="12" w:space="0" w:color="auto"/>
            </w:tcBorders>
          </w:tcPr>
          <w:p w14:paraId="0FD2AF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20F7F4" w14:textId="77777777">
        <w:tc>
          <w:tcPr>
            <w:tcW w:w="1384" w:type="dxa"/>
            <w:vMerge/>
            <w:tcBorders>
              <w:left w:val="single" w:sz="12" w:space="0" w:color="auto"/>
            </w:tcBorders>
          </w:tcPr>
          <w:p w14:paraId="1BCAC60E" w14:textId="77777777" w:rsidR="003B3105" w:rsidRDefault="003B3105" w:rsidP="001E533B">
            <w:pPr>
              <w:rPr>
                <w:rFonts w:ascii="新細明體" w:eastAsia="新細明體" w:hAnsi="新細明體"/>
              </w:rPr>
            </w:pPr>
          </w:p>
        </w:tc>
        <w:tc>
          <w:tcPr>
            <w:tcW w:w="1276" w:type="dxa"/>
            <w:vMerge/>
          </w:tcPr>
          <w:p w14:paraId="4D1CBB4F" w14:textId="77777777" w:rsidR="003B3105" w:rsidRDefault="003B3105" w:rsidP="001E533B">
            <w:pPr>
              <w:rPr>
                <w:rFonts w:ascii="新細明體" w:eastAsia="新細明體" w:hAnsi="新細明體"/>
              </w:rPr>
            </w:pPr>
          </w:p>
        </w:tc>
        <w:tc>
          <w:tcPr>
            <w:tcW w:w="5386" w:type="dxa"/>
            <w:tcBorders>
              <w:top w:val="nil"/>
              <w:bottom w:val="nil"/>
            </w:tcBorders>
          </w:tcPr>
          <w:p w14:paraId="624AB6B0"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(c)針對新開辦業務，瞭解各分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之作業落實程度及遵法情形。</w:t>
            </w:r>
          </w:p>
        </w:tc>
        <w:tc>
          <w:tcPr>
            <w:tcW w:w="5387" w:type="dxa"/>
            <w:tcBorders>
              <w:top w:val="nil"/>
              <w:bottom w:val="nil"/>
            </w:tcBorders>
          </w:tcPr>
          <w:p w14:paraId="674F7AD7"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(c)針對新開辦業務，瞭解各分</w:t>
            </w:r>
            <w:r>
              <w:rPr>
                <w:rFonts w:ascii="新細明體" w:eastAsia="新細明體" w:hAnsi="新細明體" w:cs="新細明體" w:hint="eastAsia"/>
                <w:b/>
                <w:color w:val="FF0000"/>
              </w:rPr>
              <w:t>公司</w:t>
            </w:r>
            <w:r>
              <w:rPr>
                <w:rFonts w:ascii="新細明體" w:eastAsia="新細明體" w:hAnsi="新細明體" w:cs="新細明體" w:hint="eastAsia"/>
              </w:rPr>
              <w:t>之作業落實程度及遵法情形。</w:t>
            </w:r>
          </w:p>
        </w:tc>
        <w:tc>
          <w:tcPr>
            <w:tcW w:w="2023" w:type="dxa"/>
            <w:vMerge/>
            <w:tcBorders>
              <w:right w:val="single" w:sz="12" w:space="0" w:color="auto"/>
            </w:tcBorders>
          </w:tcPr>
          <w:p w14:paraId="6F2882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3D35C1" w14:textId="77777777">
        <w:tc>
          <w:tcPr>
            <w:tcW w:w="1384" w:type="dxa"/>
            <w:vMerge/>
            <w:tcBorders>
              <w:left w:val="single" w:sz="12" w:space="0" w:color="auto"/>
            </w:tcBorders>
          </w:tcPr>
          <w:p w14:paraId="0BD50976" w14:textId="77777777" w:rsidR="003B3105" w:rsidRDefault="003B3105" w:rsidP="001E533B">
            <w:pPr>
              <w:rPr>
                <w:rFonts w:ascii="新細明體" w:eastAsia="新細明體" w:hAnsi="新細明體"/>
              </w:rPr>
            </w:pPr>
          </w:p>
        </w:tc>
        <w:tc>
          <w:tcPr>
            <w:tcW w:w="1276" w:type="dxa"/>
            <w:vMerge/>
          </w:tcPr>
          <w:p w14:paraId="06D8A1BB" w14:textId="77777777" w:rsidR="003B3105" w:rsidRDefault="003B3105" w:rsidP="001E533B">
            <w:pPr>
              <w:rPr>
                <w:rFonts w:ascii="新細明體" w:eastAsia="新細明體" w:hAnsi="新細明體"/>
              </w:rPr>
            </w:pPr>
          </w:p>
        </w:tc>
        <w:tc>
          <w:tcPr>
            <w:tcW w:w="5386" w:type="dxa"/>
            <w:tcBorders>
              <w:top w:val="nil"/>
              <w:bottom w:val="nil"/>
            </w:tcBorders>
          </w:tcPr>
          <w:p w14:paraId="3FC124B8"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(d)其他重要事項。</w:t>
            </w:r>
          </w:p>
        </w:tc>
        <w:tc>
          <w:tcPr>
            <w:tcW w:w="5387" w:type="dxa"/>
            <w:tcBorders>
              <w:top w:val="nil"/>
              <w:bottom w:val="nil"/>
            </w:tcBorders>
          </w:tcPr>
          <w:p w14:paraId="6FAA6E5A" w14:textId="77777777" w:rsidR="003B3105" w:rsidRPr="00F6439B" w:rsidRDefault="0027008E" w:rsidP="003B3105">
            <w:pPr>
              <w:spacing w:line="360" w:lineRule="exact"/>
              <w:ind w:leftChars="820" w:left="2431" w:hangingChars="115" w:hanging="299"/>
              <w:rPr>
                <w:rFonts w:ascii="新細明體" w:eastAsia="新細明體" w:hAnsi="新細明體" w:cs="新細明體"/>
              </w:rPr>
            </w:pPr>
            <w:r>
              <w:rPr>
                <w:rFonts w:ascii="新細明體" w:eastAsia="新細明體" w:hAnsi="新細明體" w:cs="新細明體" w:hint="eastAsia"/>
              </w:rPr>
              <w:t>(d)其他重要事項。</w:t>
            </w:r>
          </w:p>
        </w:tc>
        <w:tc>
          <w:tcPr>
            <w:tcW w:w="2023" w:type="dxa"/>
            <w:vMerge/>
            <w:tcBorders>
              <w:right w:val="single" w:sz="12" w:space="0" w:color="auto"/>
            </w:tcBorders>
          </w:tcPr>
          <w:p w14:paraId="78585E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545414" w14:textId="77777777">
        <w:tc>
          <w:tcPr>
            <w:tcW w:w="1384" w:type="dxa"/>
            <w:vMerge/>
            <w:tcBorders>
              <w:left w:val="single" w:sz="12" w:space="0" w:color="auto"/>
            </w:tcBorders>
          </w:tcPr>
          <w:p w14:paraId="544420BA" w14:textId="77777777" w:rsidR="003B3105" w:rsidRDefault="003B3105" w:rsidP="001E533B">
            <w:pPr>
              <w:rPr>
                <w:rFonts w:ascii="新細明體" w:eastAsia="新細明體" w:hAnsi="新細明體"/>
              </w:rPr>
            </w:pPr>
          </w:p>
        </w:tc>
        <w:tc>
          <w:tcPr>
            <w:tcW w:w="1276" w:type="dxa"/>
            <w:vMerge/>
          </w:tcPr>
          <w:p w14:paraId="54A863E6" w14:textId="77777777" w:rsidR="003B3105" w:rsidRDefault="003B3105" w:rsidP="001E533B">
            <w:pPr>
              <w:rPr>
                <w:rFonts w:ascii="新細明體" w:eastAsia="新細明體" w:hAnsi="新細明體"/>
              </w:rPr>
            </w:pPr>
          </w:p>
        </w:tc>
        <w:tc>
          <w:tcPr>
            <w:tcW w:w="5386" w:type="dxa"/>
            <w:tcBorders>
              <w:top w:val="nil"/>
              <w:bottom w:val="nil"/>
            </w:tcBorders>
          </w:tcPr>
          <w:p w14:paraId="5B0D50B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3.查核報告檢送作業：上開內部稽核作業（自行查核作業）及財務業務作業之督導查核，公司應於查核之次月五日前將「查核分支機構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內部稽核作業評核表」（包含內部稽核作業評核表、內部稽核作業工作底稿及覆核項目之查核明細表與工作底稿等之完整稽核報告）」、「查核</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支機構財務業務作業報告表」（包含查核明細表、查核工作底稿及相關資料）及「財務業務作業專案查核報告」（包含評估紀錄、查核工作底稿及相關資料），比照證券商管理規則第四條第三項規定，檢送證交所、櫃檯買賣中心或券商公會備查。</w:t>
            </w:r>
          </w:p>
        </w:tc>
        <w:tc>
          <w:tcPr>
            <w:tcW w:w="5387" w:type="dxa"/>
            <w:tcBorders>
              <w:top w:val="nil"/>
              <w:bottom w:val="nil"/>
            </w:tcBorders>
          </w:tcPr>
          <w:p w14:paraId="28DE2E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查核報告檢送作業：上開內部稽核作業（自行查核作業）及財務業務作業之督導查核，公司應於查核之次月五日前將「查核分支機構內部稽核作業評核表」（包含內部稽核作業評核表、內部稽核作業工作底稿及覆核項目之查核明細表與工作底稿等之完整稽核報告）」、「查核分支機構財務業務作業報告表」（包含查核明細表、查核工作底稿及相關資料）及「財務業務作業專案查核報告」（包含評估紀錄、查核工作底稿及相關資料），比照證券商管理規則第四條第三項規定，檢送證交所、櫃檯買賣中心或券商公會備查。</w:t>
            </w:r>
          </w:p>
        </w:tc>
        <w:tc>
          <w:tcPr>
            <w:tcW w:w="2023" w:type="dxa"/>
            <w:vMerge/>
            <w:tcBorders>
              <w:right w:val="single" w:sz="12" w:space="0" w:color="auto"/>
            </w:tcBorders>
          </w:tcPr>
          <w:p w14:paraId="6E97DF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6191AB" w14:textId="77777777">
        <w:tc>
          <w:tcPr>
            <w:tcW w:w="1384" w:type="dxa"/>
            <w:vMerge/>
            <w:tcBorders>
              <w:left w:val="single" w:sz="12" w:space="0" w:color="auto"/>
            </w:tcBorders>
          </w:tcPr>
          <w:p w14:paraId="652A6E30" w14:textId="77777777" w:rsidR="003B3105" w:rsidRDefault="003B3105" w:rsidP="001E533B">
            <w:pPr>
              <w:rPr>
                <w:rFonts w:ascii="新細明體" w:eastAsia="新細明體" w:hAnsi="新細明體"/>
              </w:rPr>
            </w:pPr>
          </w:p>
        </w:tc>
        <w:tc>
          <w:tcPr>
            <w:tcW w:w="1276" w:type="dxa"/>
            <w:vMerge/>
          </w:tcPr>
          <w:p w14:paraId="27D208FF" w14:textId="77777777" w:rsidR="003B3105" w:rsidRDefault="003B3105" w:rsidP="001E533B">
            <w:pPr>
              <w:rPr>
                <w:rFonts w:ascii="新細明體" w:eastAsia="新細明體" w:hAnsi="新細明體"/>
              </w:rPr>
            </w:pPr>
          </w:p>
        </w:tc>
        <w:tc>
          <w:tcPr>
            <w:tcW w:w="5386" w:type="dxa"/>
            <w:tcBorders>
              <w:top w:val="nil"/>
              <w:bottom w:val="nil"/>
            </w:tcBorders>
          </w:tcPr>
          <w:p w14:paraId="3FAFE5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4.總公司稽核部門應就因作業疏失而遭受主管機關或證券相關機構處分（指主管機關糾正以上處分，或相關機構因查核而函請改善以上處置）之分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加強輔導與查核，於受處分後每三個月至少執行一次無預警查</w:t>
            </w:r>
            <w:r>
              <w:rPr>
                <w:rFonts w:ascii="新細明體" w:eastAsia="新細明體" w:hAnsi="新細明體" w:cs="新細明體" w:hint="eastAsia"/>
              </w:rPr>
              <w:lastRenderedPageBreak/>
              <w:t>核，直至總公司稽核部門評估業已改善為止，並留存相關紀錄；另總公司稽核部門並應將前開</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受處分之缺失事項周知所有</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並留存通知紀錄，請其他分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自行查核人員亦對該等缺失事項注意查核。</w:t>
            </w:r>
          </w:p>
        </w:tc>
        <w:tc>
          <w:tcPr>
            <w:tcW w:w="5387" w:type="dxa"/>
            <w:tcBorders>
              <w:top w:val="nil"/>
              <w:bottom w:val="nil"/>
            </w:tcBorders>
          </w:tcPr>
          <w:p w14:paraId="59F6935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4.總公司稽核部門應就因作業疏失而遭受主管機關或證券相關機構處分（指主管機關糾正以上處分，或相關機構因查核而函請改善以上處置）之分</w:t>
            </w:r>
            <w:r>
              <w:rPr>
                <w:rFonts w:ascii="新細明體" w:eastAsia="新細明體" w:hAnsi="新細明體" w:cs="新細明體" w:hint="eastAsia"/>
                <w:b/>
                <w:color w:val="FF0000"/>
              </w:rPr>
              <w:t>公司</w:t>
            </w:r>
            <w:r>
              <w:rPr>
                <w:rFonts w:ascii="新細明體" w:eastAsia="新細明體" w:hAnsi="新細明體" w:cs="新細明體" w:hint="eastAsia"/>
              </w:rPr>
              <w:t>加強輔導與查核，於受處分後每三個月至少執行一次無預警查核，直至總公司稽核部</w:t>
            </w:r>
            <w:r>
              <w:rPr>
                <w:rFonts w:ascii="新細明體" w:eastAsia="新細明體" w:hAnsi="新細明體" w:cs="新細明體" w:hint="eastAsia"/>
              </w:rPr>
              <w:lastRenderedPageBreak/>
              <w:t>門評估業已改善為止，並留存相關紀錄；另總公司稽核部門並應將前開分</w:t>
            </w:r>
            <w:r>
              <w:rPr>
                <w:rFonts w:ascii="新細明體" w:eastAsia="新細明體" w:hAnsi="新細明體" w:cs="新細明體" w:hint="eastAsia"/>
                <w:b/>
                <w:color w:val="FF0000"/>
              </w:rPr>
              <w:t>公司</w:t>
            </w:r>
            <w:r>
              <w:rPr>
                <w:rFonts w:ascii="新細明體" w:eastAsia="新細明體" w:hAnsi="新細明體" w:cs="新細明體" w:hint="eastAsia"/>
              </w:rPr>
              <w:t>受處分之缺失事項周知所有分</w:t>
            </w:r>
            <w:r>
              <w:rPr>
                <w:rFonts w:ascii="新細明體" w:eastAsia="新細明體" w:hAnsi="新細明體" w:cs="新細明體" w:hint="eastAsia"/>
                <w:b/>
                <w:color w:val="FF0000"/>
              </w:rPr>
              <w:t>公司</w:t>
            </w:r>
            <w:r>
              <w:rPr>
                <w:rFonts w:ascii="新細明體" w:eastAsia="新細明體" w:hAnsi="新細明體" w:cs="新細明體" w:hint="eastAsia"/>
              </w:rPr>
              <w:t>並留存通知紀錄，請其他分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自行查核人員亦對該等缺失事項注意查核。</w:t>
            </w:r>
          </w:p>
        </w:tc>
        <w:tc>
          <w:tcPr>
            <w:tcW w:w="2023" w:type="dxa"/>
            <w:vMerge/>
            <w:tcBorders>
              <w:right w:val="single" w:sz="12" w:space="0" w:color="auto"/>
            </w:tcBorders>
          </w:tcPr>
          <w:p w14:paraId="637FFE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136F7C" w14:textId="77777777">
        <w:tc>
          <w:tcPr>
            <w:tcW w:w="1384" w:type="dxa"/>
            <w:vMerge/>
            <w:tcBorders>
              <w:left w:val="single" w:sz="12" w:space="0" w:color="auto"/>
            </w:tcBorders>
          </w:tcPr>
          <w:p w14:paraId="7A1E3318" w14:textId="77777777" w:rsidR="003B3105" w:rsidRDefault="003B3105" w:rsidP="001E533B">
            <w:pPr>
              <w:rPr>
                <w:rFonts w:ascii="新細明體" w:eastAsia="新細明體" w:hAnsi="新細明體"/>
              </w:rPr>
            </w:pPr>
          </w:p>
        </w:tc>
        <w:tc>
          <w:tcPr>
            <w:tcW w:w="1276" w:type="dxa"/>
            <w:vMerge/>
          </w:tcPr>
          <w:p w14:paraId="739B2816" w14:textId="77777777" w:rsidR="003B3105" w:rsidRDefault="003B3105" w:rsidP="001E533B">
            <w:pPr>
              <w:rPr>
                <w:rFonts w:ascii="新細明體" w:eastAsia="新細明體" w:hAnsi="新細明體"/>
              </w:rPr>
            </w:pPr>
          </w:p>
        </w:tc>
        <w:tc>
          <w:tcPr>
            <w:tcW w:w="5386" w:type="dxa"/>
            <w:tcBorders>
              <w:top w:val="nil"/>
              <w:bottom w:val="nil"/>
            </w:tcBorders>
          </w:tcPr>
          <w:p w14:paraId="225DC45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5.公司應針對全體分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經理人及相關從業人員加強宣導內控落實之責任及法令遵循之義務，以強調遵法精神，並將相關宣導資料建檔備查。</w:t>
            </w:r>
          </w:p>
        </w:tc>
        <w:tc>
          <w:tcPr>
            <w:tcW w:w="5387" w:type="dxa"/>
            <w:tcBorders>
              <w:top w:val="nil"/>
              <w:bottom w:val="nil"/>
            </w:tcBorders>
          </w:tcPr>
          <w:p w14:paraId="0240EF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5.公司應針對全體分</w:t>
            </w:r>
            <w:r>
              <w:rPr>
                <w:rFonts w:ascii="新細明體" w:eastAsia="新細明體" w:hAnsi="新細明體" w:cs="新細明體" w:hint="eastAsia"/>
                <w:b/>
                <w:color w:val="FF0000"/>
              </w:rPr>
              <w:t>公司</w:t>
            </w:r>
            <w:r>
              <w:rPr>
                <w:rFonts w:ascii="新細明體" w:eastAsia="新細明體" w:hAnsi="新細明體" w:cs="新細明體" w:hint="eastAsia"/>
              </w:rPr>
              <w:t>經理人及相關從業人員加強宣導內控落實之責任及法令遵循之義務，以強調遵法精神，並將相關宣導資料建檔備查。</w:t>
            </w:r>
          </w:p>
        </w:tc>
        <w:tc>
          <w:tcPr>
            <w:tcW w:w="2023" w:type="dxa"/>
            <w:vMerge/>
            <w:tcBorders>
              <w:right w:val="single" w:sz="12" w:space="0" w:color="auto"/>
            </w:tcBorders>
          </w:tcPr>
          <w:p w14:paraId="102A41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8C6E61" w14:textId="77777777">
        <w:tc>
          <w:tcPr>
            <w:tcW w:w="1384" w:type="dxa"/>
            <w:vMerge/>
            <w:tcBorders>
              <w:left w:val="single" w:sz="12" w:space="0" w:color="auto"/>
            </w:tcBorders>
          </w:tcPr>
          <w:p w14:paraId="44A8B67F" w14:textId="77777777" w:rsidR="003B3105" w:rsidRDefault="003B3105" w:rsidP="001E533B">
            <w:pPr>
              <w:rPr>
                <w:rFonts w:ascii="新細明體" w:eastAsia="新細明體" w:hAnsi="新細明體"/>
              </w:rPr>
            </w:pPr>
          </w:p>
        </w:tc>
        <w:tc>
          <w:tcPr>
            <w:tcW w:w="1276" w:type="dxa"/>
            <w:vMerge/>
          </w:tcPr>
          <w:p w14:paraId="176E06CC" w14:textId="77777777" w:rsidR="003B3105" w:rsidRDefault="003B3105" w:rsidP="001E533B">
            <w:pPr>
              <w:rPr>
                <w:rFonts w:ascii="新細明體" w:eastAsia="新細明體" w:hAnsi="新細明體"/>
              </w:rPr>
            </w:pPr>
          </w:p>
        </w:tc>
        <w:tc>
          <w:tcPr>
            <w:tcW w:w="5386" w:type="dxa"/>
            <w:tcBorders>
              <w:top w:val="nil"/>
              <w:bottom w:val="nil"/>
            </w:tcBorders>
          </w:tcPr>
          <w:p w14:paraId="73077F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6.公司應就分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執行自行查核作業之良窳，列入</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經理人、督導主管及自行查核人員年度績效考核項目，並留存紀錄，若對重大違規事項有隱匿之情事者，應依公司獎懲規定予以處分，以強化自行查核品質。</w:t>
            </w:r>
          </w:p>
        </w:tc>
        <w:tc>
          <w:tcPr>
            <w:tcW w:w="5387" w:type="dxa"/>
            <w:tcBorders>
              <w:top w:val="nil"/>
              <w:bottom w:val="nil"/>
            </w:tcBorders>
          </w:tcPr>
          <w:p w14:paraId="01BBBE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6.公司應就分</w:t>
            </w:r>
            <w:r>
              <w:rPr>
                <w:rFonts w:ascii="新細明體" w:eastAsia="新細明體" w:hAnsi="新細明體" w:cs="新細明體" w:hint="eastAsia"/>
                <w:b/>
                <w:color w:val="FF0000"/>
              </w:rPr>
              <w:t>公司</w:t>
            </w:r>
            <w:r>
              <w:rPr>
                <w:rFonts w:ascii="新細明體" w:eastAsia="新細明體" w:hAnsi="新細明體" w:cs="新細明體" w:hint="eastAsia"/>
              </w:rPr>
              <w:t>執行自行查核作業之良窳，列入分</w:t>
            </w:r>
            <w:r>
              <w:rPr>
                <w:rFonts w:ascii="新細明體" w:eastAsia="新細明體" w:hAnsi="新細明體" w:cs="新細明體" w:hint="eastAsia"/>
                <w:b/>
                <w:color w:val="FF0000"/>
              </w:rPr>
              <w:t>公司</w:t>
            </w:r>
            <w:r>
              <w:rPr>
                <w:rFonts w:ascii="新細明體" w:eastAsia="新細明體" w:hAnsi="新細明體" w:cs="新細明體" w:hint="eastAsia"/>
              </w:rPr>
              <w:t>經理人、督導主管及自行查核人員年度績效考核項目，並留存紀錄，若對重大違規事項有隱匿之情事者，應依公司獎懲規定予以處分，以強化自行查核品質。</w:t>
            </w:r>
          </w:p>
        </w:tc>
        <w:tc>
          <w:tcPr>
            <w:tcW w:w="2023" w:type="dxa"/>
            <w:vMerge/>
            <w:tcBorders>
              <w:right w:val="single" w:sz="12" w:space="0" w:color="auto"/>
            </w:tcBorders>
          </w:tcPr>
          <w:p w14:paraId="1A7D0D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0E7636" w14:textId="77777777">
        <w:tc>
          <w:tcPr>
            <w:tcW w:w="1384" w:type="dxa"/>
            <w:vMerge/>
            <w:tcBorders>
              <w:left w:val="single" w:sz="12" w:space="0" w:color="auto"/>
            </w:tcBorders>
          </w:tcPr>
          <w:p w14:paraId="087366F1" w14:textId="77777777" w:rsidR="003B3105" w:rsidRDefault="003B3105" w:rsidP="001E533B">
            <w:pPr>
              <w:rPr>
                <w:rFonts w:ascii="新細明體" w:eastAsia="新細明體" w:hAnsi="新細明體"/>
              </w:rPr>
            </w:pPr>
          </w:p>
        </w:tc>
        <w:tc>
          <w:tcPr>
            <w:tcW w:w="1276" w:type="dxa"/>
            <w:vMerge/>
          </w:tcPr>
          <w:p w14:paraId="4E40EE03" w14:textId="77777777" w:rsidR="003B3105" w:rsidRDefault="003B3105" w:rsidP="001E533B">
            <w:pPr>
              <w:rPr>
                <w:rFonts w:ascii="新細明體" w:eastAsia="新細明體" w:hAnsi="新細明體"/>
              </w:rPr>
            </w:pPr>
          </w:p>
        </w:tc>
        <w:tc>
          <w:tcPr>
            <w:tcW w:w="5386" w:type="dxa"/>
            <w:tcBorders>
              <w:top w:val="nil"/>
              <w:bottom w:val="nil"/>
            </w:tcBorders>
          </w:tcPr>
          <w:p w14:paraId="2BF7C75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因投資人檢舉案或外部查核單位查核發現顯有內控內稽作業未予落實之情形，除應依主管機關或外部查核單位之規定及要求辦理外，總公司稽核部門並應就該分</w:t>
            </w:r>
            <w:r>
              <w:rPr>
                <w:rFonts w:ascii="新細明體" w:eastAsia="新細明體" w:hAnsi="新細明體" w:cs="新細明體" w:hint="eastAsia"/>
                <w:b/>
                <w:color w:val="FF0000"/>
                <w:u w:val="single"/>
              </w:rPr>
              <w:t>支機構或該簡易分支機構</w:t>
            </w:r>
            <w:r>
              <w:rPr>
                <w:rFonts w:ascii="新細明體" w:eastAsia="新細明體" w:hAnsi="新細明體" w:cs="新細明體" w:hint="eastAsia"/>
              </w:rPr>
              <w:t>加強輔導與查核，並留存輔導與查核相關資料。</w:t>
            </w:r>
          </w:p>
        </w:tc>
        <w:tc>
          <w:tcPr>
            <w:tcW w:w="5387" w:type="dxa"/>
            <w:tcBorders>
              <w:top w:val="nil"/>
              <w:bottom w:val="nil"/>
            </w:tcBorders>
          </w:tcPr>
          <w:p w14:paraId="5BA78E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w:t>
            </w:r>
            <w:r>
              <w:rPr>
                <w:rFonts w:ascii="新細明體" w:eastAsia="新細明體" w:hAnsi="新細明體" w:cs="新細明體" w:hint="eastAsia"/>
                <w:b/>
                <w:color w:val="FF0000"/>
              </w:rPr>
              <w:t>公司</w:t>
            </w:r>
            <w:r>
              <w:rPr>
                <w:rFonts w:ascii="新細明體" w:eastAsia="新細明體" w:hAnsi="新細明體" w:cs="新細明體" w:hint="eastAsia"/>
              </w:rPr>
              <w:t>因投資人檢舉案或外部查核單位查核發現顯有內控內稽作業未予落實之情形，除應依主管機關或外部查核單位之規定及要求辦理外，總公司稽核部門並應就該分</w:t>
            </w:r>
            <w:r>
              <w:rPr>
                <w:rFonts w:ascii="新細明體" w:eastAsia="新細明體" w:hAnsi="新細明體" w:cs="新細明體" w:hint="eastAsia"/>
                <w:b/>
                <w:color w:val="FF0000"/>
              </w:rPr>
              <w:t>公司</w:t>
            </w:r>
            <w:r>
              <w:rPr>
                <w:rFonts w:ascii="新細明體" w:eastAsia="新細明體" w:hAnsi="新細明體" w:cs="新細明體" w:hint="eastAsia"/>
              </w:rPr>
              <w:t>加強輔導與查核，並留存輔導與查核相關資料。</w:t>
            </w:r>
          </w:p>
        </w:tc>
        <w:tc>
          <w:tcPr>
            <w:tcW w:w="2023" w:type="dxa"/>
            <w:vMerge/>
            <w:tcBorders>
              <w:right w:val="single" w:sz="12" w:space="0" w:color="auto"/>
            </w:tcBorders>
          </w:tcPr>
          <w:p w14:paraId="4612B7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37F2F0" w14:textId="77777777">
        <w:tc>
          <w:tcPr>
            <w:tcW w:w="1384" w:type="dxa"/>
            <w:vMerge/>
            <w:tcBorders>
              <w:left w:val="single" w:sz="12" w:space="0" w:color="auto"/>
            </w:tcBorders>
          </w:tcPr>
          <w:p w14:paraId="60D9D7C6" w14:textId="77777777" w:rsidR="003B3105" w:rsidRDefault="003B3105" w:rsidP="001E533B">
            <w:pPr>
              <w:rPr>
                <w:rFonts w:ascii="新細明體" w:eastAsia="新細明體" w:hAnsi="新細明體"/>
              </w:rPr>
            </w:pPr>
          </w:p>
        </w:tc>
        <w:tc>
          <w:tcPr>
            <w:tcW w:w="1276" w:type="dxa"/>
            <w:vMerge/>
          </w:tcPr>
          <w:p w14:paraId="20379ED3" w14:textId="77777777" w:rsidR="003B3105" w:rsidRDefault="003B3105" w:rsidP="001E533B">
            <w:pPr>
              <w:rPr>
                <w:rFonts w:ascii="新細明體" w:eastAsia="新細明體" w:hAnsi="新細明體"/>
              </w:rPr>
            </w:pPr>
          </w:p>
        </w:tc>
        <w:tc>
          <w:tcPr>
            <w:tcW w:w="5386" w:type="dxa"/>
            <w:tcBorders>
              <w:top w:val="nil"/>
              <w:bottom w:val="nil"/>
            </w:tcBorders>
          </w:tcPr>
          <w:p w14:paraId="10D4BA9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自行查核結果除應依規報總公司稽核部門彙陳外，總公司稽核部門應視自行查核結果中所列缺失事項之輕重程度，即時陳報董事會，於必要時應加強輔導與查核。</w:t>
            </w:r>
          </w:p>
        </w:tc>
        <w:tc>
          <w:tcPr>
            <w:tcW w:w="5387" w:type="dxa"/>
            <w:tcBorders>
              <w:top w:val="nil"/>
              <w:bottom w:val="nil"/>
            </w:tcBorders>
          </w:tcPr>
          <w:p w14:paraId="4C07776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自行查核結果除應依規報總公司稽核部門彙陳外，總公司稽核部門應視自行查核結果中所列缺失事項之輕重程度，即時陳報董事會，於必要時應加強輔導與查核。</w:t>
            </w:r>
          </w:p>
        </w:tc>
        <w:tc>
          <w:tcPr>
            <w:tcW w:w="2023" w:type="dxa"/>
            <w:vMerge/>
            <w:tcBorders>
              <w:right w:val="single" w:sz="12" w:space="0" w:color="auto"/>
            </w:tcBorders>
          </w:tcPr>
          <w:p w14:paraId="557C22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22406C" w14:textId="77777777">
        <w:tc>
          <w:tcPr>
            <w:tcW w:w="1384" w:type="dxa"/>
            <w:vMerge/>
            <w:tcBorders>
              <w:left w:val="single" w:sz="12" w:space="0" w:color="auto"/>
            </w:tcBorders>
          </w:tcPr>
          <w:p w14:paraId="7B6FABD0" w14:textId="77777777" w:rsidR="003B3105" w:rsidRDefault="003B3105" w:rsidP="001E533B">
            <w:pPr>
              <w:rPr>
                <w:rFonts w:ascii="新細明體" w:eastAsia="新細明體" w:hAnsi="新細明體"/>
              </w:rPr>
            </w:pPr>
          </w:p>
        </w:tc>
        <w:tc>
          <w:tcPr>
            <w:tcW w:w="1276" w:type="dxa"/>
            <w:vMerge/>
          </w:tcPr>
          <w:p w14:paraId="061F4779" w14:textId="77777777" w:rsidR="003B3105" w:rsidRDefault="003B3105" w:rsidP="001E533B">
            <w:pPr>
              <w:rPr>
                <w:rFonts w:ascii="新細明體" w:eastAsia="新細明體" w:hAnsi="新細明體"/>
              </w:rPr>
            </w:pPr>
          </w:p>
        </w:tc>
        <w:tc>
          <w:tcPr>
            <w:tcW w:w="5386" w:type="dxa"/>
            <w:tcBorders>
              <w:top w:val="nil"/>
              <w:bottom w:val="nil"/>
            </w:tcBorders>
          </w:tcPr>
          <w:p w14:paraId="790598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(四)公司欲採專人辦理分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自行查核作業者，</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應全數適用，除新採行或原已採</w:t>
            </w:r>
            <w:r>
              <w:rPr>
                <w:rFonts w:ascii="新細明體" w:eastAsia="新細明體" w:hAnsi="新細明體" w:cs="新細明體" w:hint="eastAsia"/>
                <w:b/>
                <w:color w:val="FF0000"/>
                <w:u w:val="single"/>
              </w:rPr>
              <w:t>分支機構及簡易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自行查核作業欲變更為專職內部稽核人員制度者，應於每年十二月向證交所等證券相關機構函報次一年度查核制度外，如無變動，無須函報證交所等證券相關機構。公司於年度中將分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內部稽核制度由專人辦理自行查核作業改為專職內部稽核人員辦理查核作業者，於事先書面申報證交所等證券相關機構後即可生效，惟仍應依規辦理內部稽核人員登記事宜。</w:t>
            </w:r>
          </w:p>
        </w:tc>
        <w:tc>
          <w:tcPr>
            <w:tcW w:w="5387" w:type="dxa"/>
            <w:tcBorders>
              <w:top w:val="nil"/>
              <w:bottom w:val="nil"/>
            </w:tcBorders>
          </w:tcPr>
          <w:p w14:paraId="66BDA1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(四)公司欲採專人辦理分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自行查核作業者，分</w:t>
            </w:r>
            <w:r>
              <w:rPr>
                <w:rFonts w:ascii="新細明體" w:eastAsia="新細明體" w:hAnsi="新細明體" w:cs="新細明體" w:hint="eastAsia"/>
                <w:b/>
                <w:color w:val="FF0000"/>
              </w:rPr>
              <w:t>公司</w:t>
            </w:r>
            <w:r>
              <w:rPr>
                <w:rFonts w:ascii="新細明體" w:eastAsia="新細明體" w:hAnsi="新細明體" w:cs="新細明體" w:hint="eastAsia"/>
              </w:rPr>
              <w:t>應全數適用，除新採行或原已採分</w:t>
            </w:r>
            <w:r>
              <w:rPr>
                <w:rFonts w:ascii="新細明體" w:eastAsia="新細明體" w:hAnsi="新細明體" w:cs="新細明體" w:hint="eastAsia"/>
                <w:b/>
                <w:color w:val="FF0000"/>
              </w:rPr>
              <w:t>公司</w:t>
            </w:r>
            <w:r>
              <w:rPr>
                <w:rFonts w:ascii="新細明體" w:eastAsia="新細明體" w:hAnsi="新細明體" w:cs="新細明體" w:hint="eastAsia"/>
              </w:rPr>
              <w:t>自行查核作業欲變更為專職內部稽核人員制度者，應於每年十二月向證交所等證券相關機構函報次一年度查核制度外，如無變動，無須函報證交所等證券相關機構。公司於年度中將分</w:t>
            </w:r>
            <w:r>
              <w:rPr>
                <w:rFonts w:ascii="新細明體" w:eastAsia="新細明體" w:hAnsi="新細明體" w:cs="新細明體" w:hint="eastAsia"/>
                <w:b/>
                <w:color w:val="FF0000"/>
              </w:rPr>
              <w:t>公司</w:t>
            </w:r>
            <w:r>
              <w:rPr>
                <w:rFonts w:ascii="新細明體" w:eastAsia="新細明體" w:hAnsi="新細明體" w:cs="新細明體" w:hint="eastAsia"/>
              </w:rPr>
              <w:t>內部稽核制度由專人辦理自行查核作業改為專職內部稽核人員辦理查核作業者，於事先書面申報證交所等證券相關機構後即可生效，惟仍應依規辦理內部稽核人員登記事宜。</w:t>
            </w:r>
          </w:p>
        </w:tc>
        <w:tc>
          <w:tcPr>
            <w:tcW w:w="2023" w:type="dxa"/>
            <w:vMerge/>
            <w:tcBorders>
              <w:right w:val="single" w:sz="12" w:space="0" w:color="auto"/>
            </w:tcBorders>
          </w:tcPr>
          <w:p w14:paraId="13E7728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F8DB48" w14:textId="77777777">
        <w:tc>
          <w:tcPr>
            <w:tcW w:w="1384" w:type="dxa"/>
            <w:vMerge/>
            <w:tcBorders>
              <w:left w:val="single" w:sz="12" w:space="0" w:color="auto"/>
            </w:tcBorders>
          </w:tcPr>
          <w:p w14:paraId="0A0E47BA" w14:textId="77777777" w:rsidR="003B3105" w:rsidRDefault="003B3105" w:rsidP="001E533B">
            <w:pPr>
              <w:rPr>
                <w:rFonts w:ascii="新細明體" w:eastAsia="新細明體" w:hAnsi="新細明體"/>
              </w:rPr>
            </w:pPr>
          </w:p>
        </w:tc>
        <w:tc>
          <w:tcPr>
            <w:tcW w:w="1276" w:type="dxa"/>
            <w:vMerge/>
          </w:tcPr>
          <w:p w14:paraId="60E271E6" w14:textId="77777777" w:rsidR="003B3105" w:rsidRDefault="003B3105" w:rsidP="001E533B">
            <w:pPr>
              <w:rPr>
                <w:rFonts w:ascii="新細明體" w:eastAsia="新細明體" w:hAnsi="新細明體"/>
              </w:rPr>
            </w:pPr>
          </w:p>
        </w:tc>
        <w:tc>
          <w:tcPr>
            <w:tcW w:w="5386" w:type="dxa"/>
            <w:tcBorders>
              <w:top w:val="nil"/>
              <w:bottom w:val="nil"/>
            </w:tcBorders>
          </w:tcPr>
          <w:p w14:paraId="6A3881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(五)其他：主管機關及證交所等證券相關機構就證券商內部稽核制度或作業所為規定，均應遵守之。</w:t>
            </w:r>
          </w:p>
        </w:tc>
        <w:tc>
          <w:tcPr>
            <w:tcW w:w="5387" w:type="dxa"/>
            <w:tcBorders>
              <w:top w:val="nil"/>
              <w:bottom w:val="nil"/>
            </w:tcBorders>
          </w:tcPr>
          <w:p w14:paraId="14D6DD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(五)其他：主管機關及證交所等證券相關機構就證券商內部稽核制度或作業所為規定，均應遵守之。</w:t>
            </w:r>
          </w:p>
        </w:tc>
        <w:tc>
          <w:tcPr>
            <w:tcW w:w="2023" w:type="dxa"/>
            <w:vMerge/>
            <w:tcBorders>
              <w:right w:val="single" w:sz="12" w:space="0" w:color="auto"/>
            </w:tcBorders>
          </w:tcPr>
          <w:p w14:paraId="11F577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086462" w14:textId="77777777">
        <w:tc>
          <w:tcPr>
            <w:tcW w:w="1384" w:type="dxa"/>
            <w:vMerge/>
            <w:tcBorders>
              <w:left w:val="single" w:sz="12" w:space="0" w:color="auto"/>
            </w:tcBorders>
          </w:tcPr>
          <w:p w14:paraId="36011852" w14:textId="77777777" w:rsidR="003B3105" w:rsidRDefault="003B3105" w:rsidP="001E533B">
            <w:pPr>
              <w:rPr>
                <w:rFonts w:ascii="新細明體" w:eastAsia="新細明體" w:hAnsi="新細明體"/>
              </w:rPr>
            </w:pPr>
          </w:p>
        </w:tc>
        <w:tc>
          <w:tcPr>
            <w:tcW w:w="1276" w:type="dxa"/>
            <w:vMerge/>
          </w:tcPr>
          <w:p w14:paraId="630EE059" w14:textId="77777777" w:rsidR="003B3105" w:rsidRDefault="003B3105" w:rsidP="001E533B">
            <w:pPr>
              <w:rPr>
                <w:rFonts w:ascii="新細明體" w:eastAsia="新細明體" w:hAnsi="新細明體"/>
              </w:rPr>
            </w:pPr>
          </w:p>
        </w:tc>
        <w:tc>
          <w:tcPr>
            <w:tcW w:w="5386" w:type="dxa"/>
            <w:tcBorders>
              <w:top w:val="nil"/>
              <w:bottom w:val="nil"/>
            </w:tcBorders>
          </w:tcPr>
          <w:p w14:paraId="4CC1990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十六、自行評估及內部控制制度聲明書：</w:t>
            </w:r>
          </w:p>
        </w:tc>
        <w:tc>
          <w:tcPr>
            <w:tcW w:w="5387" w:type="dxa"/>
            <w:tcBorders>
              <w:top w:val="nil"/>
              <w:bottom w:val="nil"/>
            </w:tcBorders>
          </w:tcPr>
          <w:p w14:paraId="3A17EA6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十六、自行評估及內部控制制度聲明書：</w:t>
            </w:r>
          </w:p>
        </w:tc>
        <w:tc>
          <w:tcPr>
            <w:tcW w:w="2023" w:type="dxa"/>
            <w:vMerge/>
            <w:tcBorders>
              <w:right w:val="single" w:sz="12" w:space="0" w:color="auto"/>
            </w:tcBorders>
          </w:tcPr>
          <w:p w14:paraId="42880A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5D41D5" w14:textId="77777777">
        <w:tc>
          <w:tcPr>
            <w:tcW w:w="1384" w:type="dxa"/>
            <w:vMerge/>
            <w:tcBorders>
              <w:left w:val="single" w:sz="12" w:space="0" w:color="auto"/>
            </w:tcBorders>
          </w:tcPr>
          <w:p w14:paraId="74FFFC29" w14:textId="77777777" w:rsidR="003B3105" w:rsidRDefault="003B3105" w:rsidP="001E533B">
            <w:pPr>
              <w:rPr>
                <w:rFonts w:ascii="新細明體" w:eastAsia="新細明體" w:hAnsi="新細明體"/>
              </w:rPr>
            </w:pPr>
          </w:p>
        </w:tc>
        <w:tc>
          <w:tcPr>
            <w:tcW w:w="1276" w:type="dxa"/>
            <w:vMerge/>
          </w:tcPr>
          <w:p w14:paraId="1B7994C7" w14:textId="77777777" w:rsidR="003B3105" w:rsidRDefault="003B3105" w:rsidP="001E533B">
            <w:pPr>
              <w:rPr>
                <w:rFonts w:ascii="新細明體" w:eastAsia="新細明體" w:hAnsi="新細明體"/>
              </w:rPr>
            </w:pPr>
          </w:p>
        </w:tc>
        <w:tc>
          <w:tcPr>
            <w:tcW w:w="5386" w:type="dxa"/>
            <w:tcBorders>
              <w:top w:val="nil"/>
              <w:bottom w:val="nil"/>
            </w:tcBorders>
          </w:tcPr>
          <w:p w14:paraId="224D4E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(一)自行評估內部控制制度之目的，在落實自我監督之機制、及時因應環境改變，以調整內部控制制度之設計，並提昇內部稽核部門的稽核品質及效率；其評估</w:t>
            </w:r>
            <w:r>
              <w:rPr>
                <w:rFonts w:ascii="新細明體" w:eastAsia="新細明體" w:hAnsi="新細明體" w:cs="新細明體" w:hint="eastAsia"/>
              </w:rPr>
              <w:lastRenderedPageBreak/>
              <w:t>之範圍，應涵蓋各類內部控制制度之設計及執行。</w:t>
            </w:r>
          </w:p>
        </w:tc>
        <w:tc>
          <w:tcPr>
            <w:tcW w:w="5387" w:type="dxa"/>
            <w:tcBorders>
              <w:top w:val="nil"/>
              <w:bottom w:val="nil"/>
            </w:tcBorders>
          </w:tcPr>
          <w:p w14:paraId="0AD193B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(一)自行評估內部控制制度之目的，在落實自我監督之機制、及時因應環境改變，以調整內部控制制度之設計，並提昇內部稽核部門的稽核品質及效率；其評估</w:t>
            </w:r>
            <w:r>
              <w:rPr>
                <w:rFonts w:ascii="新細明體" w:eastAsia="新細明體" w:hAnsi="新細明體" w:cs="新細明體" w:hint="eastAsia"/>
              </w:rPr>
              <w:lastRenderedPageBreak/>
              <w:t>之範圍，應涵蓋各類內部控制制度之設計及執行。</w:t>
            </w:r>
          </w:p>
        </w:tc>
        <w:tc>
          <w:tcPr>
            <w:tcW w:w="2023" w:type="dxa"/>
            <w:vMerge/>
            <w:tcBorders>
              <w:right w:val="single" w:sz="12" w:space="0" w:color="auto"/>
            </w:tcBorders>
          </w:tcPr>
          <w:p w14:paraId="251C36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FB05AE" w14:textId="77777777">
        <w:tc>
          <w:tcPr>
            <w:tcW w:w="1384" w:type="dxa"/>
            <w:vMerge/>
            <w:tcBorders>
              <w:left w:val="single" w:sz="12" w:space="0" w:color="auto"/>
            </w:tcBorders>
          </w:tcPr>
          <w:p w14:paraId="02B351E3" w14:textId="77777777" w:rsidR="003B3105" w:rsidRDefault="003B3105" w:rsidP="001E533B">
            <w:pPr>
              <w:rPr>
                <w:rFonts w:ascii="新細明體" w:eastAsia="新細明體" w:hAnsi="新細明體"/>
              </w:rPr>
            </w:pPr>
          </w:p>
        </w:tc>
        <w:tc>
          <w:tcPr>
            <w:tcW w:w="1276" w:type="dxa"/>
            <w:vMerge/>
          </w:tcPr>
          <w:p w14:paraId="34592C36" w14:textId="77777777" w:rsidR="003B3105" w:rsidRDefault="003B3105" w:rsidP="001E533B">
            <w:pPr>
              <w:rPr>
                <w:rFonts w:ascii="新細明體" w:eastAsia="新細明體" w:hAnsi="新細明體"/>
              </w:rPr>
            </w:pPr>
          </w:p>
        </w:tc>
        <w:tc>
          <w:tcPr>
            <w:tcW w:w="5386" w:type="dxa"/>
            <w:tcBorders>
              <w:top w:val="nil"/>
              <w:bottom w:val="nil"/>
            </w:tcBorders>
          </w:tcPr>
          <w:p w14:paraId="5C01D6A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(二)執行前項評估，應於內部控制制度訂定自行評估作業之程序及方法；公司應注意相關法令規章遵循事項並依風險評估結果，決定前述自行評估作業程序及方法，並至少包含下列項目：</w:t>
            </w:r>
          </w:p>
        </w:tc>
        <w:tc>
          <w:tcPr>
            <w:tcW w:w="5387" w:type="dxa"/>
            <w:tcBorders>
              <w:top w:val="nil"/>
              <w:bottom w:val="nil"/>
            </w:tcBorders>
          </w:tcPr>
          <w:p w14:paraId="4D95B1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(二)執行前項評估，應於內部控制制度訂定自行評估作業之程序及方法；公司應注意相關法令規章遵循事項並依風險評估結果，決定前述自行評估作業程序及方法，並至少包含下列項目：</w:t>
            </w:r>
          </w:p>
        </w:tc>
        <w:tc>
          <w:tcPr>
            <w:tcW w:w="2023" w:type="dxa"/>
            <w:vMerge/>
            <w:tcBorders>
              <w:right w:val="single" w:sz="12" w:space="0" w:color="auto"/>
            </w:tcBorders>
          </w:tcPr>
          <w:p w14:paraId="02C718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1AD6E2" w14:textId="77777777">
        <w:tc>
          <w:tcPr>
            <w:tcW w:w="1384" w:type="dxa"/>
            <w:vMerge/>
            <w:tcBorders>
              <w:left w:val="single" w:sz="12" w:space="0" w:color="auto"/>
            </w:tcBorders>
          </w:tcPr>
          <w:p w14:paraId="7B15AC4B" w14:textId="77777777" w:rsidR="003B3105" w:rsidRDefault="003B3105" w:rsidP="001E533B">
            <w:pPr>
              <w:rPr>
                <w:rFonts w:ascii="新細明體" w:eastAsia="新細明體" w:hAnsi="新細明體"/>
              </w:rPr>
            </w:pPr>
          </w:p>
        </w:tc>
        <w:tc>
          <w:tcPr>
            <w:tcW w:w="1276" w:type="dxa"/>
            <w:vMerge/>
          </w:tcPr>
          <w:p w14:paraId="097FA00D" w14:textId="77777777" w:rsidR="003B3105" w:rsidRDefault="003B3105" w:rsidP="001E533B">
            <w:pPr>
              <w:rPr>
                <w:rFonts w:ascii="新細明體" w:eastAsia="新細明體" w:hAnsi="新細明體"/>
              </w:rPr>
            </w:pPr>
          </w:p>
        </w:tc>
        <w:tc>
          <w:tcPr>
            <w:tcW w:w="5386" w:type="dxa"/>
            <w:tcBorders>
              <w:top w:val="nil"/>
              <w:bottom w:val="nil"/>
            </w:tcBorders>
          </w:tcPr>
          <w:p w14:paraId="002BCE4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1.確定應進行測試之控制作業。</w:t>
            </w:r>
          </w:p>
        </w:tc>
        <w:tc>
          <w:tcPr>
            <w:tcW w:w="5387" w:type="dxa"/>
            <w:tcBorders>
              <w:top w:val="nil"/>
              <w:bottom w:val="nil"/>
            </w:tcBorders>
          </w:tcPr>
          <w:p w14:paraId="2B95D6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1.確定應進行測試之控制作業。</w:t>
            </w:r>
          </w:p>
        </w:tc>
        <w:tc>
          <w:tcPr>
            <w:tcW w:w="2023" w:type="dxa"/>
            <w:vMerge/>
            <w:tcBorders>
              <w:right w:val="single" w:sz="12" w:space="0" w:color="auto"/>
            </w:tcBorders>
          </w:tcPr>
          <w:p w14:paraId="2E487E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E7C494" w14:textId="77777777">
        <w:tc>
          <w:tcPr>
            <w:tcW w:w="1384" w:type="dxa"/>
            <w:vMerge/>
            <w:tcBorders>
              <w:left w:val="single" w:sz="12" w:space="0" w:color="auto"/>
            </w:tcBorders>
          </w:tcPr>
          <w:p w14:paraId="56B2665B" w14:textId="77777777" w:rsidR="003B3105" w:rsidRDefault="003B3105" w:rsidP="001E533B">
            <w:pPr>
              <w:rPr>
                <w:rFonts w:ascii="新細明體" w:eastAsia="新細明體" w:hAnsi="新細明體"/>
              </w:rPr>
            </w:pPr>
          </w:p>
        </w:tc>
        <w:tc>
          <w:tcPr>
            <w:tcW w:w="1276" w:type="dxa"/>
            <w:vMerge/>
          </w:tcPr>
          <w:p w14:paraId="150D8B20" w14:textId="77777777" w:rsidR="003B3105" w:rsidRDefault="003B3105" w:rsidP="001E533B">
            <w:pPr>
              <w:rPr>
                <w:rFonts w:ascii="新細明體" w:eastAsia="新細明體" w:hAnsi="新細明體"/>
              </w:rPr>
            </w:pPr>
          </w:p>
        </w:tc>
        <w:tc>
          <w:tcPr>
            <w:tcW w:w="5386" w:type="dxa"/>
            <w:tcBorders>
              <w:top w:val="nil"/>
              <w:bottom w:val="nil"/>
            </w:tcBorders>
          </w:tcPr>
          <w:p w14:paraId="439F0A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2.確認應納入自行評估之營運單位。</w:t>
            </w:r>
          </w:p>
        </w:tc>
        <w:tc>
          <w:tcPr>
            <w:tcW w:w="5387" w:type="dxa"/>
            <w:tcBorders>
              <w:top w:val="nil"/>
              <w:bottom w:val="nil"/>
            </w:tcBorders>
          </w:tcPr>
          <w:p w14:paraId="476FA72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2.確認應納入自行評估之營運單位。</w:t>
            </w:r>
          </w:p>
        </w:tc>
        <w:tc>
          <w:tcPr>
            <w:tcW w:w="2023" w:type="dxa"/>
            <w:vMerge/>
            <w:tcBorders>
              <w:right w:val="single" w:sz="12" w:space="0" w:color="auto"/>
            </w:tcBorders>
          </w:tcPr>
          <w:p w14:paraId="216B92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395FEF" w14:textId="77777777">
        <w:tc>
          <w:tcPr>
            <w:tcW w:w="1384" w:type="dxa"/>
            <w:vMerge/>
            <w:tcBorders>
              <w:left w:val="single" w:sz="12" w:space="0" w:color="auto"/>
            </w:tcBorders>
          </w:tcPr>
          <w:p w14:paraId="746D3CA7" w14:textId="77777777" w:rsidR="003B3105" w:rsidRDefault="003B3105" w:rsidP="001E533B">
            <w:pPr>
              <w:rPr>
                <w:rFonts w:ascii="新細明體" w:eastAsia="新細明體" w:hAnsi="新細明體"/>
              </w:rPr>
            </w:pPr>
          </w:p>
        </w:tc>
        <w:tc>
          <w:tcPr>
            <w:tcW w:w="1276" w:type="dxa"/>
            <w:vMerge/>
          </w:tcPr>
          <w:p w14:paraId="1DBCB92C" w14:textId="77777777" w:rsidR="003B3105" w:rsidRDefault="003B3105" w:rsidP="001E533B">
            <w:pPr>
              <w:rPr>
                <w:rFonts w:ascii="新細明體" w:eastAsia="新細明體" w:hAnsi="新細明體"/>
              </w:rPr>
            </w:pPr>
          </w:p>
        </w:tc>
        <w:tc>
          <w:tcPr>
            <w:tcW w:w="5386" w:type="dxa"/>
            <w:tcBorders>
              <w:top w:val="nil"/>
              <w:bottom w:val="nil"/>
            </w:tcBorders>
          </w:tcPr>
          <w:p w14:paraId="6C18930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3.評估各項控制作業設計之有效性。</w:t>
            </w:r>
          </w:p>
        </w:tc>
        <w:tc>
          <w:tcPr>
            <w:tcW w:w="5387" w:type="dxa"/>
            <w:tcBorders>
              <w:top w:val="nil"/>
              <w:bottom w:val="nil"/>
            </w:tcBorders>
          </w:tcPr>
          <w:p w14:paraId="05CDE0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3.評估各項控制作業設計之有效性。</w:t>
            </w:r>
          </w:p>
        </w:tc>
        <w:tc>
          <w:tcPr>
            <w:tcW w:w="2023" w:type="dxa"/>
            <w:vMerge/>
            <w:tcBorders>
              <w:right w:val="single" w:sz="12" w:space="0" w:color="auto"/>
            </w:tcBorders>
          </w:tcPr>
          <w:p w14:paraId="46291C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FA8E0A" w14:textId="77777777">
        <w:tc>
          <w:tcPr>
            <w:tcW w:w="1384" w:type="dxa"/>
            <w:vMerge/>
            <w:tcBorders>
              <w:left w:val="single" w:sz="12" w:space="0" w:color="auto"/>
            </w:tcBorders>
          </w:tcPr>
          <w:p w14:paraId="5E222053" w14:textId="77777777" w:rsidR="003B3105" w:rsidRDefault="003B3105" w:rsidP="001E533B">
            <w:pPr>
              <w:rPr>
                <w:rFonts w:ascii="新細明體" w:eastAsia="新細明體" w:hAnsi="新細明體"/>
              </w:rPr>
            </w:pPr>
          </w:p>
        </w:tc>
        <w:tc>
          <w:tcPr>
            <w:tcW w:w="1276" w:type="dxa"/>
            <w:vMerge/>
          </w:tcPr>
          <w:p w14:paraId="5E3EFB73" w14:textId="77777777" w:rsidR="003B3105" w:rsidRDefault="003B3105" w:rsidP="001E533B">
            <w:pPr>
              <w:rPr>
                <w:rFonts w:ascii="新細明體" w:eastAsia="新細明體" w:hAnsi="新細明體"/>
              </w:rPr>
            </w:pPr>
          </w:p>
        </w:tc>
        <w:tc>
          <w:tcPr>
            <w:tcW w:w="5386" w:type="dxa"/>
            <w:tcBorders>
              <w:top w:val="nil"/>
              <w:bottom w:val="nil"/>
            </w:tcBorders>
          </w:tcPr>
          <w:p w14:paraId="314148D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4.評估各項控制作業執行之有效性。</w:t>
            </w:r>
          </w:p>
        </w:tc>
        <w:tc>
          <w:tcPr>
            <w:tcW w:w="5387" w:type="dxa"/>
            <w:tcBorders>
              <w:top w:val="nil"/>
              <w:bottom w:val="nil"/>
            </w:tcBorders>
          </w:tcPr>
          <w:p w14:paraId="30932B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4.評估各項控制作業執行之有效性。</w:t>
            </w:r>
          </w:p>
        </w:tc>
        <w:tc>
          <w:tcPr>
            <w:tcW w:w="2023" w:type="dxa"/>
            <w:vMerge/>
            <w:tcBorders>
              <w:right w:val="single" w:sz="12" w:space="0" w:color="auto"/>
            </w:tcBorders>
          </w:tcPr>
          <w:p w14:paraId="19053C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49EB8B" w14:textId="77777777">
        <w:tc>
          <w:tcPr>
            <w:tcW w:w="1384" w:type="dxa"/>
            <w:vMerge/>
            <w:tcBorders>
              <w:left w:val="single" w:sz="12" w:space="0" w:color="auto"/>
            </w:tcBorders>
          </w:tcPr>
          <w:p w14:paraId="3F28025B" w14:textId="77777777" w:rsidR="003B3105" w:rsidRDefault="003B3105" w:rsidP="001E533B">
            <w:pPr>
              <w:rPr>
                <w:rFonts w:ascii="新細明體" w:eastAsia="新細明體" w:hAnsi="新細明體"/>
              </w:rPr>
            </w:pPr>
          </w:p>
        </w:tc>
        <w:tc>
          <w:tcPr>
            <w:tcW w:w="1276" w:type="dxa"/>
            <w:vMerge/>
          </w:tcPr>
          <w:p w14:paraId="7CEF261C" w14:textId="77777777" w:rsidR="003B3105" w:rsidRDefault="003B3105" w:rsidP="001E533B">
            <w:pPr>
              <w:rPr>
                <w:rFonts w:ascii="新細明體" w:eastAsia="新細明體" w:hAnsi="新細明體"/>
              </w:rPr>
            </w:pPr>
          </w:p>
        </w:tc>
        <w:tc>
          <w:tcPr>
            <w:tcW w:w="5386" w:type="dxa"/>
            <w:tcBorders>
              <w:top w:val="nil"/>
              <w:bottom w:val="nil"/>
            </w:tcBorders>
          </w:tcPr>
          <w:p w14:paraId="7D9604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自行評估內部控制制度，應先督促內部各單位及子公司每年至少辦理自行評估一次，再由內部稽核單位覆核各單位之自行評估報告，併同稽核單位所發現之內部控制缺失及異常事項改善情形，以作為董事會及總經理評估公司整體內部控制制度有效性及出具內部控制制度聲明書之主要依據。</w:t>
            </w:r>
          </w:p>
        </w:tc>
        <w:tc>
          <w:tcPr>
            <w:tcW w:w="5387" w:type="dxa"/>
            <w:tcBorders>
              <w:top w:val="nil"/>
              <w:bottom w:val="nil"/>
            </w:tcBorders>
          </w:tcPr>
          <w:p w14:paraId="7F2BCE1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自行評估內部控制制度，應先督促內部各單位及子公司每年至少辦理自行評估一次，再由內部稽核單位覆核各單位之自行評估報告，併同稽核單位所發現之內部控制缺失及異常事項改善情形，以作為董事會及總經理評估公司整體內部控制制度有效性及出具內部控制制度聲明書之主要依據。</w:t>
            </w:r>
          </w:p>
        </w:tc>
        <w:tc>
          <w:tcPr>
            <w:tcW w:w="2023" w:type="dxa"/>
            <w:vMerge/>
            <w:tcBorders>
              <w:right w:val="single" w:sz="12" w:space="0" w:color="auto"/>
            </w:tcBorders>
          </w:tcPr>
          <w:p w14:paraId="4E8E90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5D7878" w14:textId="77777777">
        <w:tc>
          <w:tcPr>
            <w:tcW w:w="1384" w:type="dxa"/>
            <w:vMerge/>
            <w:tcBorders>
              <w:left w:val="single" w:sz="12" w:space="0" w:color="auto"/>
            </w:tcBorders>
          </w:tcPr>
          <w:p w14:paraId="04DE0F10" w14:textId="77777777" w:rsidR="003B3105" w:rsidRDefault="003B3105" w:rsidP="001E533B">
            <w:pPr>
              <w:rPr>
                <w:rFonts w:ascii="新細明體" w:eastAsia="新細明體" w:hAnsi="新細明體"/>
              </w:rPr>
            </w:pPr>
          </w:p>
        </w:tc>
        <w:tc>
          <w:tcPr>
            <w:tcW w:w="1276" w:type="dxa"/>
            <w:vMerge/>
          </w:tcPr>
          <w:p w14:paraId="55F48AF0" w14:textId="77777777" w:rsidR="003B3105" w:rsidRDefault="003B3105" w:rsidP="001E533B">
            <w:pPr>
              <w:rPr>
                <w:rFonts w:ascii="新細明體" w:eastAsia="新細明體" w:hAnsi="新細明體"/>
              </w:rPr>
            </w:pPr>
          </w:p>
        </w:tc>
        <w:tc>
          <w:tcPr>
            <w:tcW w:w="5386" w:type="dxa"/>
            <w:tcBorders>
              <w:top w:val="nil"/>
              <w:bottom w:val="nil"/>
            </w:tcBorders>
          </w:tcPr>
          <w:p w14:paraId="218306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(四)前項自行評估應作成工作底稿，併同自行評估報告及相關資料至少保存五年。</w:t>
            </w:r>
          </w:p>
        </w:tc>
        <w:tc>
          <w:tcPr>
            <w:tcW w:w="5387" w:type="dxa"/>
            <w:tcBorders>
              <w:top w:val="nil"/>
              <w:bottom w:val="nil"/>
            </w:tcBorders>
          </w:tcPr>
          <w:p w14:paraId="3AABE2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(四)前項自行評估應作成工作底稿，併同自行評估報告及相關資料至少保存五年。</w:t>
            </w:r>
          </w:p>
        </w:tc>
        <w:tc>
          <w:tcPr>
            <w:tcW w:w="2023" w:type="dxa"/>
            <w:vMerge/>
            <w:tcBorders>
              <w:right w:val="single" w:sz="12" w:space="0" w:color="auto"/>
            </w:tcBorders>
          </w:tcPr>
          <w:p w14:paraId="6F2E25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1B7DDF" w14:textId="77777777">
        <w:tc>
          <w:tcPr>
            <w:tcW w:w="1384" w:type="dxa"/>
            <w:vMerge/>
            <w:tcBorders>
              <w:left w:val="single" w:sz="12" w:space="0" w:color="auto"/>
            </w:tcBorders>
          </w:tcPr>
          <w:p w14:paraId="14E37946" w14:textId="77777777" w:rsidR="003B3105" w:rsidRDefault="003B3105" w:rsidP="001E533B">
            <w:pPr>
              <w:rPr>
                <w:rFonts w:ascii="新細明體" w:eastAsia="新細明體" w:hAnsi="新細明體"/>
              </w:rPr>
            </w:pPr>
          </w:p>
        </w:tc>
        <w:tc>
          <w:tcPr>
            <w:tcW w:w="1276" w:type="dxa"/>
            <w:vMerge/>
          </w:tcPr>
          <w:p w14:paraId="75B0388F" w14:textId="77777777" w:rsidR="003B3105" w:rsidRDefault="003B3105" w:rsidP="001E533B">
            <w:pPr>
              <w:rPr>
                <w:rFonts w:ascii="新細明體" w:eastAsia="新細明體" w:hAnsi="新細明體"/>
              </w:rPr>
            </w:pPr>
          </w:p>
        </w:tc>
        <w:tc>
          <w:tcPr>
            <w:tcW w:w="5386" w:type="dxa"/>
            <w:tcBorders>
              <w:top w:val="nil"/>
              <w:bottom w:val="nil"/>
            </w:tcBorders>
          </w:tcPr>
          <w:p w14:paraId="0476C6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每年應自行評估內部控制制度設計及執行之有效性，並依主管機關規定格式作成內部控制制度聲明書，除事業之相關法令另有規定外，應於每會計年度終了後三個月內申報主管機關備查。內部控制制度聲明書應先經董事會通過；修</w:t>
            </w:r>
            <w:r>
              <w:rPr>
                <w:rFonts w:ascii="新細明體" w:eastAsia="新細明體" w:hAnsi="新細明體" w:cs="新細明體" w:hint="eastAsia"/>
              </w:rPr>
              <w:lastRenderedPageBreak/>
              <w:t>正時，亦同。</w:t>
            </w:r>
          </w:p>
        </w:tc>
        <w:tc>
          <w:tcPr>
            <w:tcW w:w="5387" w:type="dxa"/>
            <w:tcBorders>
              <w:top w:val="nil"/>
              <w:bottom w:val="nil"/>
            </w:tcBorders>
          </w:tcPr>
          <w:p w14:paraId="5BB396E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五)每年應自行評估內部控制制度設計及執行之有效性，並依主管機關規定格式作成內部控制制度聲明書，除事業之相關法令另有規定外，應於每會計年度終了後三個月內申報主管機關備查。內部控制制度聲明書應先經董事會通過；修</w:t>
            </w:r>
            <w:r>
              <w:rPr>
                <w:rFonts w:ascii="新細明體" w:eastAsia="新細明體" w:hAnsi="新細明體" w:cs="新細明體" w:hint="eastAsia"/>
              </w:rPr>
              <w:lastRenderedPageBreak/>
              <w:t>正時，亦同。</w:t>
            </w:r>
          </w:p>
        </w:tc>
        <w:tc>
          <w:tcPr>
            <w:tcW w:w="2023" w:type="dxa"/>
            <w:vMerge/>
            <w:tcBorders>
              <w:right w:val="single" w:sz="12" w:space="0" w:color="auto"/>
            </w:tcBorders>
          </w:tcPr>
          <w:p w14:paraId="13B01B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EC8751" w14:textId="77777777">
        <w:tc>
          <w:tcPr>
            <w:tcW w:w="1384" w:type="dxa"/>
            <w:vMerge/>
            <w:tcBorders>
              <w:left w:val="single" w:sz="12" w:space="0" w:color="auto"/>
            </w:tcBorders>
          </w:tcPr>
          <w:p w14:paraId="47B8D0B1" w14:textId="77777777" w:rsidR="003B3105" w:rsidRDefault="003B3105" w:rsidP="001E533B">
            <w:pPr>
              <w:rPr>
                <w:rFonts w:ascii="新細明體" w:eastAsia="新細明體" w:hAnsi="新細明體"/>
              </w:rPr>
            </w:pPr>
          </w:p>
        </w:tc>
        <w:tc>
          <w:tcPr>
            <w:tcW w:w="1276" w:type="dxa"/>
            <w:vMerge/>
          </w:tcPr>
          <w:p w14:paraId="182AF9BC" w14:textId="77777777" w:rsidR="003B3105" w:rsidRDefault="003B3105" w:rsidP="001E533B">
            <w:pPr>
              <w:rPr>
                <w:rFonts w:ascii="新細明體" w:eastAsia="新細明體" w:hAnsi="新細明體"/>
              </w:rPr>
            </w:pPr>
          </w:p>
        </w:tc>
        <w:tc>
          <w:tcPr>
            <w:tcW w:w="5386" w:type="dxa"/>
            <w:tcBorders>
              <w:top w:val="nil"/>
              <w:bottom w:val="nil"/>
            </w:tcBorders>
          </w:tcPr>
          <w:p w14:paraId="43BB563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已依證券交易法規定設置審計委員會者，前開內部控制制度設計及執行之有效性，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5387" w:type="dxa"/>
            <w:tcBorders>
              <w:top w:val="nil"/>
              <w:bottom w:val="nil"/>
            </w:tcBorders>
          </w:tcPr>
          <w:p w14:paraId="04E69F2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已依證券交易法規定設置審計委員會者，前開內部控制制度設計及執行之有效性，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2023" w:type="dxa"/>
            <w:vMerge/>
            <w:tcBorders>
              <w:right w:val="single" w:sz="12" w:space="0" w:color="auto"/>
            </w:tcBorders>
          </w:tcPr>
          <w:p w14:paraId="1E7426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415642" w14:textId="77777777">
        <w:tc>
          <w:tcPr>
            <w:tcW w:w="1384" w:type="dxa"/>
            <w:vMerge/>
            <w:tcBorders>
              <w:left w:val="single" w:sz="12" w:space="0" w:color="auto"/>
            </w:tcBorders>
          </w:tcPr>
          <w:p w14:paraId="55102A5B" w14:textId="77777777" w:rsidR="003B3105" w:rsidRDefault="003B3105" w:rsidP="001E533B">
            <w:pPr>
              <w:rPr>
                <w:rFonts w:ascii="新細明體" w:eastAsia="新細明體" w:hAnsi="新細明體"/>
              </w:rPr>
            </w:pPr>
          </w:p>
        </w:tc>
        <w:tc>
          <w:tcPr>
            <w:tcW w:w="1276" w:type="dxa"/>
            <w:vMerge/>
          </w:tcPr>
          <w:p w14:paraId="6835CF88" w14:textId="77777777" w:rsidR="003B3105" w:rsidRDefault="003B3105" w:rsidP="001E533B">
            <w:pPr>
              <w:rPr>
                <w:rFonts w:ascii="新細明體" w:eastAsia="新細明體" w:hAnsi="新細明體"/>
              </w:rPr>
            </w:pPr>
          </w:p>
        </w:tc>
        <w:tc>
          <w:tcPr>
            <w:tcW w:w="5386" w:type="dxa"/>
            <w:tcBorders>
              <w:top w:val="nil"/>
              <w:bottom w:val="nil"/>
            </w:tcBorders>
          </w:tcPr>
          <w:p w14:paraId="736772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(六)前項之內部控制制度聲明書應依規定刊登於年報、股票公開發行說明書及公開說明書或投資說明書。</w:t>
            </w:r>
          </w:p>
        </w:tc>
        <w:tc>
          <w:tcPr>
            <w:tcW w:w="5387" w:type="dxa"/>
            <w:tcBorders>
              <w:top w:val="nil"/>
              <w:bottom w:val="nil"/>
            </w:tcBorders>
          </w:tcPr>
          <w:p w14:paraId="62A111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(六)前項之內部控制制度聲明書應依規定刊登於年報、股票公開發行說明書及公開說明書或投資說明書。</w:t>
            </w:r>
          </w:p>
        </w:tc>
        <w:tc>
          <w:tcPr>
            <w:tcW w:w="2023" w:type="dxa"/>
            <w:vMerge/>
            <w:tcBorders>
              <w:right w:val="single" w:sz="12" w:space="0" w:color="auto"/>
            </w:tcBorders>
          </w:tcPr>
          <w:p w14:paraId="581D33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AA9CD4" w14:textId="77777777">
        <w:tc>
          <w:tcPr>
            <w:tcW w:w="1384" w:type="dxa"/>
            <w:vMerge/>
            <w:tcBorders>
              <w:left w:val="single" w:sz="12" w:space="0" w:color="auto"/>
            </w:tcBorders>
          </w:tcPr>
          <w:p w14:paraId="2C97070E" w14:textId="77777777" w:rsidR="003B3105" w:rsidRDefault="003B3105" w:rsidP="001E533B">
            <w:pPr>
              <w:rPr>
                <w:rFonts w:ascii="新細明體" w:eastAsia="新細明體" w:hAnsi="新細明體"/>
              </w:rPr>
            </w:pPr>
          </w:p>
        </w:tc>
        <w:tc>
          <w:tcPr>
            <w:tcW w:w="1276" w:type="dxa"/>
            <w:vMerge/>
          </w:tcPr>
          <w:p w14:paraId="38F67F46" w14:textId="77777777" w:rsidR="003B3105" w:rsidRDefault="003B3105" w:rsidP="001E533B">
            <w:pPr>
              <w:rPr>
                <w:rFonts w:ascii="新細明體" w:eastAsia="新細明體" w:hAnsi="新細明體"/>
              </w:rPr>
            </w:pPr>
          </w:p>
        </w:tc>
        <w:tc>
          <w:tcPr>
            <w:tcW w:w="5386" w:type="dxa"/>
            <w:tcBorders>
              <w:top w:val="nil"/>
              <w:bottom w:val="nil"/>
            </w:tcBorders>
          </w:tcPr>
          <w:p w14:paraId="637D7C7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十七、證券商公司治理：</w:t>
            </w:r>
          </w:p>
        </w:tc>
        <w:tc>
          <w:tcPr>
            <w:tcW w:w="5387" w:type="dxa"/>
            <w:tcBorders>
              <w:top w:val="nil"/>
              <w:bottom w:val="nil"/>
            </w:tcBorders>
          </w:tcPr>
          <w:p w14:paraId="601BD6F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十七、證券商公司治理：</w:t>
            </w:r>
          </w:p>
        </w:tc>
        <w:tc>
          <w:tcPr>
            <w:tcW w:w="2023" w:type="dxa"/>
            <w:vMerge/>
            <w:tcBorders>
              <w:right w:val="single" w:sz="12" w:space="0" w:color="auto"/>
            </w:tcBorders>
          </w:tcPr>
          <w:p w14:paraId="27137C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BE466" w14:textId="77777777">
        <w:tc>
          <w:tcPr>
            <w:tcW w:w="1384" w:type="dxa"/>
            <w:vMerge/>
            <w:tcBorders>
              <w:left w:val="single" w:sz="12" w:space="0" w:color="auto"/>
            </w:tcBorders>
          </w:tcPr>
          <w:p w14:paraId="794F49BA" w14:textId="77777777" w:rsidR="003B3105" w:rsidRDefault="003B3105" w:rsidP="001E533B">
            <w:pPr>
              <w:rPr>
                <w:rFonts w:ascii="新細明體" w:eastAsia="新細明體" w:hAnsi="新細明體"/>
              </w:rPr>
            </w:pPr>
          </w:p>
        </w:tc>
        <w:tc>
          <w:tcPr>
            <w:tcW w:w="1276" w:type="dxa"/>
            <w:vMerge/>
          </w:tcPr>
          <w:p w14:paraId="71CC672B" w14:textId="77777777" w:rsidR="003B3105" w:rsidRDefault="003B3105" w:rsidP="001E533B">
            <w:pPr>
              <w:rPr>
                <w:rFonts w:ascii="新細明體" w:eastAsia="新細明體" w:hAnsi="新細明體"/>
              </w:rPr>
            </w:pPr>
          </w:p>
        </w:tc>
        <w:tc>
          <w:tcPr>
            <w:tcW w:w="5386" w:type="dxa"/>
            <w:tcBorders>
              <w:top w:val="nil"/>
              <w:bottom w:val="nil"/>
            </w:tcBorders>
          </w:tcPr>
          <w:p w14:paraId="499ECD8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為提升公司營運品質，增加競爭優勢，並促進證券市場健全發展，公司宜積極參採「證券商公司治理實務守則」，據以建構並實施公司治理制度。</w:t>
            </w:r>
          </w:p>
        </w:tc>
        <w:tc>
          <w:tcPr>
            <w:tcW w:w="5387" w:type="dxa"/>
            <w:tcBorders>
              <w:top w:val="nil"/>
              <w:bottom w:val="nil"/>
            </w:tcBorders>
          </w:tcPr>
          <w:p w14:paraId="6C3FF6C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為提升公司營運品質，增加競爭優勢，並促進證券市場健全發展，公司宜積極參採「證券商公司治理實務守則」，據以建構並實施公司治理制度。</w:t>
            </w:r>
          </w:p>
        </w:tc>
        <w:tc>
          <w:tcPr>
            <w:tcW w:w="2023" w:type="dxa"/>
            <w:vMerge/>
            <w:tcBorders>
              <w:right w:val="single" w:sz="12" w:space="0" w:color="auto"/>
            </w:tcBorders>
          </w:tcPr>
          <w:p w14:paraId="6CEB33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E427BB" w14:textId="77777777">
        <w:tc>
          <w:tcPr>
            <w:tcW w:w="1384" w:type="dxa"/>
            <w:vMerge/>
            <w:tcBorders>
              <w:left w:val="single" w:sz="12" w:space="0" w:color="auto"/>
            </w:tcBorders>
          </w:tcPr>
          <w:p w14:paraId="2CE5ECB4" w14:textId="77777777" w:rsidR="003B3105" w:rsidRDefault="003B3105" w:rsidP="001E533B">
            <w:pPr>
              <w:rPr>
                <w:rFonts w:ascii="新細明體" w:eastAsia="新細明體" w:hAnsi="新細明體"/>
              </w:rPr>
            </w:pPr>
          </w:p>
        </w:tc>
        <w:tc>
          <w:tcPr>
            <w:tcW w:w="1276" w:type="dxa"/>
            <w:vMerge/>
          </w:tcPr>
          <w:p w14:paraId="0BB69275" w14:textId="77777777" w:rsidR="003B3105" w:rsidRDefault="003B3105" w:rsidP="001E533B">
            <w:pPr>
              <w:rPr>
                <w:rFonts w:ascii="新細明體" w:eastAsia="新細明體" w:hAnsi="新細明體"/>
              </w:rPr>
            </w:pPr>
          </w:p>
        </w:tc>
        <w:tc>
          <w:tcPr>
            <w:tcW w:w="5386" w:type="dxa"/>
            <w:tcBorders>
              <w:top w:val="nil"/>
              <w:bottom w:val="nil"/>
            </w:tcBorders>
          </w:tcPr>
          <w:p w14:paraId="761D368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十八、股務作業內部控制制度：</w:t>
            </w:r>
          </w:p>
        </w:tc>
        <w:tc>
          <w:tcPr>
            <w:tcW w:w="5387" w:type="dxa"/>
            <w:tcBorders>
              <w:top w:val="nil"/>
              <w:bottom w:val="nil"/>
            </w:tcBorders>
          </w:tcPr>
          <w:p w14:paraId="59C25A7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十八、股務作業內部控制制度：</w:t>
            </w:r>
          </w:p>
        </w:tc>
        <w:tc>
          <w:tcPr>
            <w:tcW w:w="2023" w:type="dxa"/>
            <w:vMerge/>
            <w:tcBorders>
              <w:right w:val="single" w:sz="12" w:space="0" w:color="auto"/>
            </w:tcBorders>
          </w:tcPr>
          <w:p w14:paraId="101698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20FE4D" w14:textId="77777777">
        <w:tc>
          <w:tcPr>
            <w:tcW w:w="1384" w:type="dxa"/>
            <w:vMerge/>
            <w:tcBorders>
              <w:left w:val="single" w:sz="12" w:space="0" w:color="auto"/>
            </w:tcBorders>
          </w:tcPr>
          <w:p w14:paraId="44D51F9A" w14:textId="77777777" w:rsidR="003B3105" w:rsidRDefault="003B3105" w:rsidP="001E533B">
            <w:pPr>
              <w:rPr>
                <w:rFonts w:ascii="新細明體" w:eastAsia="新細明體" w:hAnsi="新細明體"/>
              </w:rPr>
            </w:pPr>
          </w:p>
        </w:tc>
        <w:tc>
          <w:tcPr>
            <w:tcW w:w="1276" w:type="dxa"/>
            <w:vMerge/>
          </w:tcPr>
          <w:p w14:paraId="3F2A3BA6" w14:textId="77777777" w:rsidR="003B3105" w:rsidRDefault="003B3105" w:rsidP="001E533B">
            <w:pPr>
              <w:rPr>
                <w:rFonts w:ascii="新細明體" w:eastAsia="新細明體" w:hAnsi="新細明體"/>
              </w:rPr>
            </w:pPr>
          </w:p>
        </w:tc>
        <w:tc>
          <w:tcPr>
            <w:tcW w:w="5386" w:type="dxa"/>
            <w:tcBorders>
              <w:top w:val="nil"/>
              <w:bottom w:val="nil"/>
            </w:tcBorders>
          </w:tcPr>
          <w:p w14:paraId="523F2DF0"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公司辦理股務相關作業，除依有關法規辦理外，內部控制制度並應依「股務單位內部控制制度標準規範」規定辦理。</w:t>
            </w:r>
          </w:p>
        </w:tc>
        <w:tc>
          <w:tcPr>
            <w:tcW w:w="5387" w:type="dxa"/>
            <w:tcBorders>
              <w:top w:val="nil"/>
              <w:bottom w:val="nil"/>
            </w:tcBorders>
          </w:tcPr>
          <w:p w14:paraId="5CD239D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公司辦理股務相關作業，除依有關法規辦理外，內部控制制度並應依「股務單位內部控制制度標準規範」規定辦理。</w:t>
            </w:r>
          </w:p>
        </w:tc>
        <w:tc>
          <w:tcPr>
            <w:tcW w:w="2023" w:type="dxa"/>
            <w:vMerge/>
            <w:tcBorders>
              <w:right w:val="single" w:sz="12" w:space="0" w:color="auto"/>
            </w:tcBorders>
          </w:tcPr>
          <w:p w14:paraId="0801A4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AD822C" w14:textId="77777777">
        <w:tc>
          <w:tcPr>
            <w:tcW w:w="1384" w:type="dxa"/>
            <w:vMerge/>
            <w:tcBorders>
              <w:left w:val="single" w:sz="12" w:space="0" w:color="auto"/>
            </w:tcBorders>
          </w:tcPr>
          <w:p w14:paraId="06C8A086" w14:textId="77777777" w:rsidR="003B3105" w:rsidRDefault="003B3105" w:rsidP="001E533B">
            <w:pPr>
              <w:rPr>
                <w:rFonts w:ascii="新細明體" w:eastAsia="新細明體" w:hAnsi="新細明體"/>
              </w:rPr>
            </w:pPr>
          </w:p>
        </w:tc>
        <w:tc>
          <w:tcPr>
            <w:tcW w:w="1276" w:type="dxa"/>
            <w:vMerge/>
          </w:tcPr>
          <w:p w14:paraId="59C2F245" w14:textId="77777777" w:rsidR="003B3105" w:rsidRDefault="003B3105" w:rsidP="001E533B">
            <w:pPr>
              <w:rPr>
                <w:rFonts w:ascii="新細明體" w:eastAsia="新細明體" w:hAnsi="新細明體"/>
              </w:rPr>
            </w:pPr>
          </w:p>
        </w:tc>
        <w:tc>
          <w:tcPr>
            <w:tcW w:w="5386" w:type="dxa"/>
            <w:tcBorders>
              <w:top w:val="nil"/>
              <w:bottom w:val="nil"/>
            </w:tcBorders>
          </w:tcPr>
          <w:p w14:paraId="26D526B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十九、證券商誠信經營制度：</w:t>
            </w:r>
          </w:p>
        </w:tc>
        <w:tc>
          <w:tcPr>
            <w:tcW w:w="5387" w:type="dxa"/>
            <w:tcBorders>
              <w:top w:val="nil"/>
              <w:bottom w:val="nil"/>
            </w:tcBorders>
          </w:tcPr>
          <w:p w14:paraId="5A3C33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十九、證券商誠信經營制度：</w:t>
            </w:r>
          </w:p>
        </w:tc>
        <w:tc>
          <w:tcPr>
            <w:tcW w:w="2023" w:type="dxa"/>
            <w:vMerge/>
            <w:tcBorders>
              <w:right w:val="single" w:sz="12" w:space="0" w:color="auto"/>
            </w:tcBorders>
          </w:tcPr>
          <w:p w14:paraId="52914F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CC2AD0" w14:textId="77777777">
        <w:tc>
          <w:tcPr>
            <w:tcW w:w="1384" w:type="dxa"/>
            <w:vMerge/>
            <w:tcBorders>
              <w:left w:val="single" w:sz="12" w:space="0" w:color="auto"/>
            </w:tcBorders>
          </w:tcPr>
          <w:p w14:paraId="3A678A68" w14:textId="77777777" w:rsidR="003B3105" w:rsidRDefault="003B3105" w:rsidP="001E533B">
            <w:pPr>
              <w:rPr>
                <w:rFonts w:ascii="新細明體" w:eastAsia="新細明體" w:hAnsi="新細明體"/>
              </w:rPr>
            </w:pPr>
          </w:p>
        </w:tc>
        <w:tc>
          <w:tcPr>
            <w:tcW w:w="1276" w:type="dxa"/>
            <w:vMerge/>
          </w:tcPr>
          <w:p w14:paraId="31358901" w14:textId="77777777" w:rsidR="003B3105" w:rsidRDefault="003B3105" w:rsidP="001E533B">
            <w:pPr>
              <w:rPr>
                <w:rFonts w:ascii="新細明體" w:eastAsia="新細明體" w:hAnsi="新細明體"/>
              </w:rPr>
            </w:pPr>
          </w:p>
        </w:tc>
        <w:tc>
          <w:tcPr>
            <w:tcW w:w="5386" w:type="dxa"/>
            <w:tcBorders>
              <w:top w:val="nil"/>
              <w:bottom w:val="nil"/>
            </w:tcBorders>
          </w:tcPr>
          <w:p w14:paraId="6DD5C14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為提升上市上櫃證券商誠信經營之企業文化，並促進證券市場之健全發展，上市上櫃證券商宜積極參採「上市上櫃公司誠信經營守則」，據以建構並實施公司誠信經營制度。</w:t>
            </w:r>
          </w:p>
        </w:tc>
        <w:tc>
          <w:tcPr>
            <w:tcW w:w="5387" w:type="dxa"/>
            <w:tcBorders>
              <w:top w:val="nil"/>
              <w:bottom w:val="nil"/>
            </w:tcBorders>
          </w:tcPr>
          <w:p w14:paraId="3C65B44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為提升上市上櫃證券商誠信經營之企業文化，並促進證券市場之健全發展，上市上櫃證券商宜積極參採「上市上櫃公司誠信經營守則」，據以建構並實施公司誠信經營制度。</w:t>
            </w:r>
          </w:p>
        </w:tc>
        <w:tc>
          <w:tcPr>
            <w:tcW w:w="2023" w:type="dxa"/>
            <w:vMerge/>
            <w:tcBorders>
              <w:right w:val="single" w:sz="12" w:space="0" w:color="auto"/>
            </w:tcBorders>
          </w:tcPr>
          <w:p w14:paraId="24C244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4C5030" w14:textId="77777777">
        <w:tc>
          <w:tcPr>
            <w:tcW w:w="1384" w:type="dxa"/>
            <w:vMerge/>
            <w:tcBorders>
              <w:left w:val="single" w:sz="12" w:space="0" w:color="auto"/>
            </w:tcBorders>
          </w:tcPr>
          <w:p w14:paraId="72934EBE" w14:textId="77777777" w:rsidR="003B3105" w:rsidRDefault="003B3105" w:rsidP="001E533B">
            <w:pPr>
              <w:rPr>
                <w:rFonts w:ascii="新細明體" w:eastAsia="新細明體" w:hAnsi="新細明體"/>
              </w:rPr>
            </w:pPr>
          </w:p>
        </w:tc>
        <w:tc>
          <w:tcPr>
            <w:tcW w:w="1276" w:type="dxa"/>
            <w:vMerge/>
          </w:tcPr>
          <w:p w14:paraId="1840BF6B" w14:textId="77777777" w:rsidR="003B3105" w:rsidRDefault="003B3105" w:rsidP="001E533B">
            <w:pPr>
              <w:rPr>
                <w:rFonts w:ascii="新細明體" w:eastAsia="新細明體" w:hAnsi="新細明體"/>
              </w:rPr>
            </w:pPr>
          </w:p>
        </w:tc>
        <w:tc>
          <w:tcPr>
            <w:tcW w:w="5386" w:type="dxa"/>
            <w:tcBorders>
              <w:top w:val="nil"/>
              <w:bottom w:val="nil"/>
            </w:tcBorders>
          </w:tcPr>
          <w:p w14:paraId="06FC310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二十、公司應訂定適當之風險管理政策與程</w:t>
            </w:r>
            <w:r>
              <w:rPr>
                <w:rFonts w:ascii="新細明體" w:eastAsia="新細明體" w:hAnsi="新細明體" w:cs="新細明體" w:hint="eastAsia"/>
              </w:rPr>
              <w:lastRenderedPageBreak/>
              <w:t>序，建立獨立有效風險管理機制，以評估及監督整體風險承擔能力、已承受風險現況、決定風險因應策略及風險管理程序遵循情形。</w:t>
            </w:r>
          </w:p>
        </w:tc>
        <w:tc>
          <w:tcPr>
            <w:tcW w:w="5387" w:type="dxa"/>
            <w:tcBorders>
              <w:top w:val="nil"/>
              <w:bottom w:val="nil"/>
            </w:tcBorders>
          </w:tcPr>
          <w:p w14:paraId="13F1CC7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二十、公司應訂定適當之風險管理政策與程</w:t>
            </w:r>
            <w:r>
              <w:rPr>
                <w:rFonts w:ascii="新細明體" w:eastAsia="新細明體" w:hAnsi="新細明體" w:cs="新細明體" w:hint="eastAsia"/>
              </w:rPr>
              <w:lastRenderedPageBreak/>
              <w:t>序，建立獨立有效風險管理機制，以評估及監督整體風險承擔能力、已承受風險現況、決定風險因應策略及風險管理程序遵循情形。</w:t>
            </w:r>
          </w:p>
        </w:tc>
        <w:tc>
          <w:tcPr>
            <w:tcW w:w="2023" w:type="dxa"/>
            <w:vMerge/>
            <w:tcBorders>
              <w:right w:val="single" w:sz="12" w:space="0" w:color="auto"/>
            </w:tcBorders>
          </w:tcPr>
          <w:p w14:paraId="3E3E7C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AAD2B4" w14:textId="77777777">
        <w:tc>
          <w:tcPr>
            <w:tcW w:w="1384" w:type="dxa"/>
            <w:vMerge/>
            <w:tcBorders>
              <w:left w:val="single" w:sz="12" w:space="0" w:color="auto"/>
            </w:tcBorders>
          </w:tcPr>
          <w:p w14:paraId="50AD4071" w14:textId="77777777" w:rsidR="003B3105" w:rsidRDefault="003B3105" w:rsidP="001E533B">
            <w:pPr>
              <w:rPr>
                <w:rFonts w:ascii="新細明體" w:eastAsia="新細明體" w:hAnsi="新細明體"/>
              </w:rPr>
            </w:pPr>
          </w:p>
        </w:tc>
        <w:tc>
          <w:tcPr>
            <w:tcW w:w="1276" w:type="dxa"/>
            <w:vMerge/>
          </w:tcPr>
          <w:p w14:paraId="218E0465" w14:textId="77777777" w:rsidR="003B3105" w:rsidRDefault="003B3105" w:rsidP="001E533B">
            <w:pPr>
              <w:rPr>
                <w:rFonts w:ascii="新細明體" w:eastAsia="新細明體" w:hAnsi="新細明體"/>
              </w:rPr>
            </w:pPr>
          </w:p>
        </w:tc>
        <w:tc>
          <w:tcPr>
            <w:tcW w:w="5386" w:type="dxa"/>
            <w:tcBorders>
              <w:top w:val="nil"/>
              <w:bottom w:val="nil"/>
            </w:tcBorders>
          </w:tcPr>
          <w:p w14:paraId="604B6C4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二十一、建立檢舉制度：</w:t>
            </w:r>
          </w:p>
        </w:tc>
        <w:tc>
          <w:tcPr>
            <w:tcW w:w="5387" w:type="dxa"/>
            <w:tcBorders>
              <w:top w:val="nil"/>
              <w:bottom w:val="nil"/>
            </w:tcBorders>
          </w:tcPr>
          <w:p w14:paraId="48850A7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二十一、建立檢舉制度：</w:t>
            </w:r>
          </w:p>
        </w:tc>
        <w:tc>
          <w:tcPr>
            <w:tcW w:w="2023" w:type="dxa"/>
            <w:vMerge/>
            <w:tcBorders>
              <w:right w:val="single" w:sz="12" w:space="0" w:color="auto"/>
            </w:tcBorders>
          </w:tcPr>
          <w:p w14:paraId="32EEBB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AC7FFD" w14:textId="77777777">
        <w:tc>
          <w:tcPr>
            <w:tcW w:w="1384" w:type="dxa"/>
            <w:vMerge/>
            <w:tcBorders>
              <w:left w:val="single" w:sz="12" w:space="0" w:color="auto"/>
            </w:tcBorders>
          </w:tcPr>
          <w:p w14:paraId="3361F1B3" w14:textId="77777777" w:rsidR="003B3105" w:rsidRDefault="003B3105" w:rsidP="001E533B">
            <w:pPr>
              <w:rPr>
                <w:rFonts w:ascii="新細明體" w:eastAsia="新細明體" w:hAnsi="新細明體"/>
              </w:rPr>
            </w:pPr>
          </w:p>
        </w:tc>
        <w:tc>
          <w:tcPr>
            <w:tcW w:w="1276" w:type="dxa"/>
            <w:vMerge/>
          </w:tcPr>
          <w:p w14:paraId="4F821D3E" w14:textId="77777777" w:rsidR="003B3105" w:rsidRDefault="003B3105" w:rsidP="001E533B">
            <w:pPr>
              <w:rPr>
                <w:rFonts w:ascii="新細明體" w:eastAsia="新細明體" w:hAnsi="新細明體"/>
              </w:rPr>
            </w:pPr>
          </w:p>
        </w:tc>
        <w:tc>
          <w:tcPr>
            <w:tcW w:w="5386" w:type="dxa"/>
            <w:tcBorders>
              <w:top w:val="nil"/>
              <w:bottom w:val="nil"/>
            </w:tcBorders>
          </w:tcPr>
          <w:p w14:paraId="4DA8BCB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為促進健全經營，公司應建立檢舉制度，並指定具職權行使獨立性之單位負責檢舉案件之受理及調查。</w:t>
            </w:r>
          </w:p>
        </w:tc>
        <w:tc>
          <w:tcPr>
            <w:tcW w:w="5387" w:type="dxa"/>
            <w:tcBorders>
              <w:top w:val="nil"/>
              <w:bottom w:val="nil"/>
            </w:tcBorders>
          </w:tcPr>
          <w:p w14:paraId="5D5CDFF2"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為促進健全經營，公司應建立檢舉制度，並指定具職權行使獨立性之單位負責檢舉案件之受理及調查。</w:t>
            </w:r>
          </w:p>
        </w:tc>
        <w:tc>
          <w:tcPr>
            <w:tcW w:w="2023" w:type="dxa"/>
            <w:vMerge/>
            <w:tcBorders>
              <w:right w:val="single" w:sz="12" w:space="0" w:color="auto"/>
            </w:tcBorders>
          </w:tcPr>
          <w:p w14:paraId="4F081F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2BF08C" w14:textId="77777777">
        <w:tc>
          <w:tcPr>
            <w:tcW w:w="1384" w:type="dxa"/>
            <w:vMerge/>
            <w:tcBorders>
              <w:left w:val="single" w:sz="12" w:space="0" w:color="auto"/>
            </w:tcBorders>
          </w:tcPr>
          <w:p w14:paraId="45B6B945" w14:textId="77777777" w:rsidR="003B3105" w:rsidRDefault="003B3105" w:rsidP="001E533B">
            <w:pPr>
              <w:rPr>
                <w:rFonts w:ascii="新細明體" w:eastAsia="新細明體" w:hAnsi="新細明體"/>
              </w:rPr>
            </w:pPr>
          </w:p>
        </w:tc>
        <w:tc>
          <w:tcPr>
            <w:tcW w:w="1276" w:type="dxa"/>
            <w:vMerge/>
          </w:tcPr>
          <w:p w14:paraId="0DEE53ED" w14:textId="77777777" w:rsidR="003B3105" w:rsidRDefault="003B3105" w:rsidP="001E533B">
            <w:pPr>
              <w:rPr>
                <w:rFonts w:ascii="新細明體" w:eastAsia="新細明體" w:hAnsi="新細明體"/>
              </w:rPr>
            </w:pPr>
          </w:p>
        </w:tc>
        <w:tc>
          <w:tcPr>
            <w:tcW w:w="5386" w:type="dxa"/>
            <w:tcBorders>
              <w:top w:val="nil"/>
              <w:bottom w:val="nil"/>
            </w:tcBorders>
          </w:tcPr>
          <w:p w14:paraId="0B1665FF"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對檢舉人應為下列之保護：</w:t>
            </w:r>
          </w:p>
        </w:tc>
        <w:tc>
          <w:tcPr>
            <w:tcW w:w="5387" w:type="dxa"/>
            <w:tcBorders>
              <w:top w:val="nil"/>
              <w:bottom w:val="nil"/>
            </w:tcBorders>
          </w:tcPr>
          <w:p w14:paraId="75539245"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對檢舉人應為下列之保護：</w:t>
            </w:r>
          </w:p>
        </w:tc>
        <w:tc>
          <w:tcPr>
            <w:tcW w:w="2023" w:type="dxa"/>
            <w:vMerge/>
            <w:tcBorders>
              <w:right w:val="single" w:sz="12" w:space="0" w:color="auto"/>
            </w:tcBorders>
          </w:tcPr>
          <w:p w14:paraId="221F48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C2DD84" w14:textId="77777777">
        <w:tc>
          <w:tcPr>
            <w:tcW w:w="1384" w:type="dxa"/>
            <w:vMerge/>
            <w:tcBorders>
              <w:left w:val="single" w:sz="12" w:space="0" w:color="auto"/>
            </w:tcBorders>
          </w:tcPr>
          <w:p w14:paraId="21B7F33E" w14:textId="77777777" w:rsidR="003B3105" w:rsidRDefault="003B3105" w:rsidP="001E533B">
            <w:pPr>
              <w:rPr>
                <w:rFonts w:ascii="新細明體" w:eastAsia="新細明體" w:hAnsi="新細明體"/>
              </w:rPr>
            </w:pPr>
          </w:p>
        </w:tc>
        <w:tc>
          <w:tcPr>
            <w:tcW w:w="1276" w:type="dxa"/>
            <w:vMerge/>
          </w:tcPr>
          <w:p w14:paraId="28FB56D5" w14:textId="77777777" w:rsidR="003B3105" w:rsidRDefault="003B3105" w:rsidP="001E533B">
            <w:pPr>
              <w:rPr>
                <w:rFonts w:ascii="新細明體" w:eastAsia="新細明體" w:hAnsi="新細明體"/>
              </w:rPr>
            </w:pPr>
          </w:p>
        </w:tc>
        <w:tc>
          <w:tcPr>
            <w:tcW w:w="5386" w:type="dxa"/>
            <w:tcBorders>
              <w:top w:val="nil"/>
              <w:bottom w:val="nil"/>
            </w:tcBorders>
          </w:tcPr>
          <w:p w14:paraId="4D3F03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(一)檢舉人之身分資料應予保密，不得洩漏足以識別其身分之資訊。</w:t>
            </w:r>
          </w:p>
        </w:tc>
        <w:tc>
          <w:tcPr>
            <w:tcW w:w="5387" w:type="dxa"/>
            <w:tcBorders>
              <w:top w:val="nil"/>
              <w:bottom w:val="nil"/>
            </w:tcBorders>
          </w:tcPr>
          <w:p w14:paraId="05852B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(一)檢舉人之身分資料應予保密，不得洩漏足以識別其身分之資訊。</w:t>
            </w:r>
          </w:p>
        </w:tc>
        <w:tc>
          <w:tcPr>
            <w:tcW w:w="2023" w:type="dxa"/>
            <w:vMerge/>
            <w:tcBorders>
              <w:right w:val="single" w:sz="12" w:space="0" w:color="auto"/>
            </w:tcBorders>
          </w:tcPr>
          <w:p w14:paraId="60F024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EE574D" w14:textId="77777777">
        <w:tc>
          <w:tcPr>
            <w:tcW w:w="1384" w:type="dxa"/>
            <w:vMerge/>
            <w:tcBorders>
              <w:left w:val="single" w:sz="12" w:space="0" w:color="auto"/>
            </w:tcBorders>
          </w:tcPr>
          <w:p w14:paraId="09B909BE" w14:textId="77777777" w:rsidR="003B3105" w:rsidRDefault="003B3105" w:rsidP="001E533B">
            <w:pPr>
              <w:rPr>
                <w:rFonts w:ascii="新細明體" w:eastAsia="新細明體" w:hAnsi="新細明體"/>
              </w:rPr>
            </w:pPr>
          </w:p>
        </w:tc>
        <w:tc>
          <w:tcPr>
            <w:tcW w:w="1276" w:type="dxa"/>
            <w:vMerge/>
          </w:tcPr>
          <w:p w14:paraId="1AB76A02" w14:textId="77777777" w:rsidR="003B3105" w:rsidRDefault="003B3105" w:rsidP="001E533B">
            <w:pPr>
              <w:rPr>
                <w:rFonts w:ascii="新細明體" w:eastAsia="新細明體" w:hAnsi="新細明體"/>
              </w:rPr>
            </w:pPr>
          </w:p>
        </w:tc>
        <w:tc>
          <w:tcPr>
            <w:tcW w:w="5386" w:type="dxa"/>
            <w:tcBorders>
              <w:top w:val="nil"/>
              <w:bottom w:val="nil"/>
            </w:tcBorders>
          </w:tcPr>
          <w:p w14:paraId="096A9A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(二)不得因所檢舉案件而對檢舉人予以解僱、解任、降調、減薪、損害其依法令、契約或習慣上所應享有之權益，或其他不利處分。</w:t>
            </w:r>
          </w:p>
        </w:tc>
        <w:tc>
          <w:tcPr>
            <w:tcW w:w="5387" w:type="dxa"/>
            <w:tcBorders>
              <w:top w:val="nil"/>
              <w:bottom w:val="nil"/>
            </w:tcBorders>
          </w:tcPr>
          <w:p w14:paraId="59A6CD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(二)不得因所檢舉案件而對檢舉人予以解僱、解任、降調、減薪、損害其依法令、契約或習慣上所應享有之權益，或其他不利處分。</w:t>
            </w:r>
          </w:p>
        </w:tc>
        <w:tc>
          <w:tcPr>
            <w:tcW w:w="2023" w:type="dxa"/>
            <w:vMerge/>
            <w:tcBorders>
              <w:right w:val="single" w:sz="12" w:space="0" w:color="auto"/>
            </w:tcBorders>
          </w:tcPr>
          <w:p w14:paraId="6F1F1E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F4EDA2" w14:textId="77777777">
        <w:tc>
          <w:tcPr>
            <w:tcW w:w="1384" w:type="dxa"/>
            <w:vMerge/>
            <w:tcBorders>
              <w:left w:val="single" w:sz="12" w:space="0" w:color="auto"/>
            </w:tcBorders>
          </w:tcPr>
          <w:p w14:paraId="2D97E5F0" w14:textId="77777777" w:rsidR="003B3105" w:rsidRDefault="003B3105" w:rsidP="001E533B">
            <w:pPr>
              <w:rPr>
                <w:rFonts w:ascii="新細明體" w:eastAsia="新細明體" w:hAnsi="新細明體"/>
              </w:rPr>
            </w:pPr>
          </w:p>
        </w:tc>
        <w:tc>
          <w:tcPr>
            <w:tcW w:w="1276" w:type="dxa"/>
            <w:vMerge/>
          </w:tcPr>
          <w:p w14:paraId="375CEE2C" w14:textId="77777777" w:rsidR="003B3105" w:rsidRDefault="003B3105" w:rsidP="001E533B">
            <w:pPr>
              <w:rPr>
                <w:rFonts w:ascii="新細明體" w:eastAsia="新細明體" w:hAnsi="新細明體"/>
              </w:rPr>
            </w:pPr>
          </w:p>
        </w:tc>
        <w:tc>
          <w:tcPr>
            <w:tcW w:w="5386" w:type="dxa"/>
            <w:tcBorders>
              <w:top w:val="nil"/>
              <w:bottom w:val="nil"/>
            </w:tcBorders>
          </w:tcPr>
          <w:p w14:paraId="0329DA7D"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檢舉案件之受理及調查過程，有利益衝突之人，應予迴避。</w:t>
            </w:r>
          </w:p>
        </w:tc>
        <w:tc>
          <w:tcPr>
            <w:tcW w:w="5387" w:type="dxa"/>
            <w:tcBorders>
              <w:top w:val="nil"/>
              <w:bottom w:val="nil"/>
            </w:tcBorders>
          </w:tcPr>
          <w:p w14:paraId="77AFB25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檢舉案件之受理及調查過程，有利益衝突之人，應予迴避。</w:t>
            </w:r>
          </w:p>
        </w:tc>
        <w:tc>
          <w:tcPr>
            <w:tcW w:w="2023" w:type="dxa"/>
            <w:vMerge/>
            <w:tcBorders>
              <w:right w:val="single" w:sz="12" w:space="0" w:color="auto"/>
            </w:tcBorders>
          </w:tcPr>
          <w:p w14:paraId="2A59B8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9BF160" w14:textId="77777777">
        <w:tc>
          <w:tcPr>
            <w:tcW w:w="1384" w:type="dxa"/>
            <w:vMerge/>
            <w:tcBorders>
              <w:left w:val="single" w:sz="12" w:space="0" w:color="auto"/>
            </w:tcBorders>
          </w:tcPr>
          <w:p w14:paraId="254D2F94" w14:textId="77777777" w:rsidR="003B3105" w:rsidRDefault="003B3105" w:rsidP="001E533B">
            <w:pPr>
              <w:rPr>
                <w:rFonts w:ascii="新細明體" w:eastAsia="新細明體" w:hAnsi="新細明體"/>
              </w:rPr>
            </w:pPr>
          </w:p>
        </w:tc>
        <w:tc>
          <w:tcPr>
            <w:tcW w:w="1276" w:type="dxa"/>
            <w:vMerge/>
          </w:tcPr>
          <w:p w14:paraId="1D26FE6F" w14:textId="77777777" w:rsidR="003B3105" w:rsidRDefault="003B3105" w:rsidP="001E533B">
            <w:pPr>
              <w:rPr>
                <w:rFonts w:ascii="新細明體" w:eastAsia="新細明體" w:hAnsi="新細明體"/>
              </w:rPr>
            </w:pPr>
          </w:p>
        </w:tc>
        <w:tc>
          <w:tcPr>
            <w:tcW w:w="5386" w:type="dxa"/>
            <w:tcBorders>
              <w:top w:val="nil"/>
              <w:bottom w:val="nil"/>
            </w:tcBorders>
          </w:tcPr>
          <w:p w14:paraId="7BFBAE9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檢舉制度至少應包括下列事項，並報經董事會通過：</w:t>
            </w:r>
          </w:p>
        </w:tc>
        <w:tc>
          <w:tcPr>
            <w:tcW w:w="5387" w:type="dxa"/>
            <w:tcBorders>
              <w:top w:val="nil"/>
              <w:bottom w:val="nil"/>
            </w:tcBorders>
          </w:tcPr>
          <w:p w14:paraId="016658B0"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檢舉制度至少應包括下列事項，並報經董事會通過：</w:t>
            </w:r>
          </w:p>
        </w:tc>
        <w:tc>
          <w:tcPr>
            <w:tcW w:w="2023" w:type="dxa"/>
            <w:vMerge/>
            <w:tcBorders>
              <w:right w:val="single" w:sz="12" w:space="0" w:color="auto"/>
            </w:tcBorders>
          </w:tcPr>
          <w:p w14:paraId="4E650C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B944B7" w14:textId="77777777">
        <w:tc>
          <w:tcPr>
            <w:tcW w:w="1384" w:type="dxa"/>
            <w:vMerge/>
            <w:tcBorders>
              <w:left w:val="single" w:sz="12" w:space="0" w:color="auto"/>
            </w:tcBorders>
          </w:tcPr>
          <w:p w14:paraId="1A879B09" w14:textId="77777777" w:rsidR="003B3105" w:rsidRDefault="003B3105" w:rsidP="001E533B">
            <w:pPr>
              <w:rPr>
                <w:rFonts w:ascii="新細明體" w:eastAsia="新細明體" w:hAnsi="新細明體"/>
              </w:rPr>
            </w:pPr>
          </w:p>
        </w:tc>
        <w:tc>
          <w:tcPr>
            <w:tcW w:w="1276" w:type="dxa"/>
            <w:vMerge/>
          </w:tcPr>
          <w:p w14:paraId="5F5373B9" w14:textId="77777777" w:rsidR="003B3105" w:rsidRDefault="003B3105" w:rsidP="001E533B">
            <w:pPr>
              <w:rPr>
                <w:rFonts w:ascii="新細明體" w:eastAsia="新細明體" w:hAnsi="新細明體"/>
              </w:rPr>
            </w:pPr>
          </w:p>
        </w:tc>
        <w:tc>
          <w:tcPr>
            <w:tcW w:w="5386" w:type="dxa"/>
            <w:tcBorders>
              <w:top w:val="nil"/>
              <w:bottom w:val="nil"/>
            </w:tcBorders>
          </w:tcPr>
          <w:p w14:paraId="1F8B56A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(一)揭示任何人發現有犯罪、舞弊或違反法令之虞時，均得提出檢舉。</w:t>
            </w:r>
          </w:p>
        </w:tc>
        <w:tc>
          <w:tcPr>
            <w:tcW w:w="5387" w:type="dxa"/>
            <w:tcBorders>
              <w:top w:val="nil"/>
              <w:bottom w:val="nil"/>
            </w:tcBorders>
          </w:tcPr>
          <w:p w14:paraId="3F88F5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(一)揭示任何人發現有犯罪、舞弊或違反法令之虞時，均得提出檢舉。</w:t>
            </w:r>
          </w:p>
        </w:tc>
        <w:tc>
          <w:tcPr>
            <w:tcW w:w="2023" w:type="dxa"/>
            <w:vMerge/>
            <w:tcBorders>
              <w:right w:val="single" w:sz="12" w:space="0" w:color="auto"/>
            </w:tcBorders>
          </w:tcPr>
          <w:p w14:paraId="044C7F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817B25" w14:textId="77777777">
        <w:tc>
          <w:tcPr>
            <w:tcW w:w="1384" w:type="dxa"/>
            <w:vMerge/>
            <w:tcBorders>
              <w:left w:val="single" w:sz="12" w:space="0" w:color="auto"/>
            </w:tcBorders>
          </w:tcPr>
          <w:p w14:paraId="2F8DCAE4" w14:textId="77777777" w:rsidR="003B3105" w:rsidRDefault="003B3105" w:rsidP="001E533B">
            <w:pPr>
              <w:rPr>
                <w:rFonts w:ascii="新細明體" w:eastAsia="新細明體" w:hAnsi="新細明體"/>
              </w:rPr>
            </w:pPr>
          </w:p>
        </w:tc>
        <w:tc>
          <w:tcPr>
            <w:tcW w:w="1276" w:type="dxa"/>
            <w:vMerge/>
          </w:tcPr>
          <w:p w14:paraId="6DAD5F52" w14:textId="77777777" w:rsidR="003B3105" w:rsidRDefault="003B3105" w:rsidP="001E533B">
            <w:pPr>
              <w:rPr>
                <w:rFonts w:ascii="新細明體" w:eastAsia="新細明體" w:hAnsi="新細明體"/>
              </w:rPr>
            </w:pPr>
          </w:p>
        </w:tc>
        <w:tc>
          <w:tcPr>
            <w:tcW w:w="5386" w:type="dxa"/>
            <w:tcBorders>
              <w:top w:val="nil"/>
              <w:bottom w:val="nil"/>
            </w:tcBorders>
          </w:tcPr>
          <w:p w14:paraId="2F2ECC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(二)受理之檢舉案件類型。</w:t>
            </w:r>
          </w:p>
        </w:tc>
        <w:tc>
          <w:tcPr>
            <w:tcW w:w="5387" w:type="dxa"/>
            <w:tcBorders>
              <w:top w:val="nil"/>
              <w:bottom w:val="nil"/>
            </w:tcBorders>
          </w:tcPr>
          <w:p w14:paraId="3166DE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(二)受理之檢舉案件類型。</w:t>
            </w:r>
          </w:p>
        </w:tc>
        <w:tc>
          <w:tcPr>
            <w:tcW w:w="2023" w:type="dxa"/>
            <w:vMerge/>
            <w:tcBorders>
              <w:right w:val="single" w:sz="12" w:space="0" w:color="auto"/>
            </w:tcBorders>
          </w:tcPr>
          <w:p w14:paraId="528021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16A560" w14:textId="77777777">
        <w:tc>
          <w:tcPr>
            <w:tcW w:w="1384" w:type="dxa"/>
            <w:vMerge/>
            <w:tcBorders>
              <w:left w:val="single" w:sz="12" w:space="0" w:color="auto"/>
            </w:tcBorders>
          </w:tcPr>
          <w:p w14:paraId="3A5DF87C" w14:textId="77777777" w:rsidR="003B3105" w:rsidRDefault="003B3105" w:rsidP="001E533B">
            <w:pPr>
              <w:rPr>
                <w:rFonts w:ascii="新細明體" w:eastAsia="新細明體" w:hAnsi="新細明體"/>
              </w:rPr>
            </w:pPr>
          </w:p>
        </w:tc>
        <w:tc>
          <w:tcPr>
            <w:tcW w:w="1276" w:type="dxa"/>
            <w:vMerge/>
          </w:tcPr>
          <w:p w14:paraId="42126FCF" w14:textId="77777777" w:rsidR="003B3105" w:rsidRDefault="003B3105" w:rsidP="001E533B">
            <w:pPr>
              <w:rPr>
                <w:rFonts w:ascii="新細明體" w:eastAsia="新細明體" w:hAnsi="新細明體"/>
              </w:rPr>
            </w:pPr>
          </w:p>
        </w:tc>
        <w:tc>
          <w:tcPr>
            <w:tcW w:w="5386" w:type="dxa"/>
            <w:tcBorders>
              <w:top w:val="nil"/>
              <w:bottom w:val="nil"/>
            </w:tcBorders>
          </w:tcPr>
          <w:p w14:paraId="58582B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(三)設置並公布檢舉之管道。</w:t>
            </w:r>
          </w:p>
        </w:tc>
        <w:tc>
          <w:tcPr>
            <w:tcW w:w="5387" w:type="dxa"/>
            <w:tcBorders>
              <w:top w:val="nil"/>
              <w:bottom w:val="nil"/>
            </w:tcBorders>
          </w:tcPr>
          <w:p w14:paraId="499BA5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(三)設置並公布檢舉之管道。</w:t>
            </w:r>
          </w:p>
        </w:tc>
        <w:tc>
          <w:tcPr>
            <w:tcW w:w="2023" w:type="dxa"/>
            <w:vMerge/>
            <w:tcBorders>
              <w:right w:val="single" w:sz="12" w:space="0" w:color="auto"/>
            </w:tcBorders>
          </w:tcPr>
          <w:p w14:paraId="7333B7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AD43F6" w14:textId="77777777">
        <w:tc>
          <w:tcPr>
            <w:tcW w:w="1384" w:type="dxa"/>
            <w:vMerge/>
            <w:tcBorders>
              <w:left w:val="single" w:sz="12" w:space="0" w:color="auto"/>
            </w:tcBorders>
          </w:tcPr>
          <w:p w14:paraId="59D30A0C" w14:textId="77777777" w:rsidR="003B3105" w:rsidRDefault="003B3105" w:rsidP="001E533B">
            <w:pPr>
              <w:rPr>
                <w:rFonts w:ascii="新細明體" w:eastAsia="新細明體" w:hAnsi="新細明體"/>
              </w:rPr>
            </w:pPr>
          </w:p>
        </w:tc>
        <w:tc>
          <w:tcPr>
            <w:tcW w:w="1276" w:type="dxa"/>
            <w:vMerge/>
          </w:tcPr>
          <w:p w14:paraId="103554B7" w14:textId="77777777" w:rsidR="003B3105" w:rsidRDefault="003B3105" w:rsidP="001E533B">
            <w:pPr>
              <w:rPr>
                <w:rFonts w:ascii="新細明體" w:eastAsia="新細明體" w:hAnsi="新細明體"/>
              </w:rPr>
            </w:pPr>
          </w:p>
        </w:tc>
        <w:tc>
          <w:tcPr>
            <w:tcW w:w="5386" w:type="dxa"/>
            <w:tcBorders>
              <w:top w:val="nil"/>
              <w:bottom w:val="nil"/>
            </w:tcBorders>
          </w:tcPr>
          <w:p w14:paraId="68FFA8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(四)調查與配合調查之流程、迴避規定及後續處理機制之標準作業程序。</w:t>
            </w:r>
          </w:p>
        </w:tc>
        <w:tc>
          <w:tcPr>
            <w:tcW w:w="5387" w:type="dxa"/>
            <w:tcBorders>
              <w:top w:val="nil"/>
              <w:bottom w:val="nil"/>
            </w:tcBorders>
          </w:tcPr>
          <w:p w14:paraId="32F3F7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(四)調查與配合調查之流程、迴避規定及後續處理機制之標準作業程序。</w:t>
            </w:r>
          </w:p>
        </w:tc>
        <w:tc>
          <w:tcPr>
            <w:tcW w:w="2023" w:type="dxa"/>
            <w:vMerge/>
            <w:tcBorders>
              <w:right w:val="single" w:sz="12" w:space="0" w:color="auto"/>
            </w:tcBorders>
          </w:tcPr>
          <w:p w14:paraId="5470CE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13CAAB" w14:textId="77777777">
        <w:tc>
          <w:tcPr>
            <w:tcW w:w="1384" w:type="dxa"/>
            <w:vMerge/>
            <w:tcBorders>
              <w:left w:val="single" w:sz="12" w:space="0" w:color="auto"/>
            </w:tcBorders>
          </w:tcPr>
          <w:p w14:paraId="4014E598" w14:textId="77777777" w:rsidR="003B3105" w:rsidRDefault="003B3105" w:rsidP="001E533B">
            <w:pPr>
              <w:rPr>
                <w:rFonts w:ascii="新細明體" w:eastAsia="新細明體" w:hAnsi="新細明體"/>
              </w:rPr>
            </w:pPr>
          </w:p>
        </w:tc>
        <w:tc>
          <w:tcPr>
            <w:tcW w:w="1276" w:type="dxa"/>
            <w:vMerge/>
          </w:tcPr>
          <w:p w14:paraId="7CB8DF04" w14:textId="77777777" w:rsidR="003B3105" w:rsidRDefault="003B3105" w:rsidP="001E533B">
            <w:pPr>
              <w:rPr>
                <w:rFonts w:ascii="新細明體" w:eastAsia="新細明體" w:hAnsi="新細明體"/>
              </w:rPr>
            </w:pPr>
          </w:p>
        </w:tc>
        <w:tc>
          <w:tcPr>
            <w:tcW w:w="5386" w:type="dxa"/>
            <w:tcBorders>
              <w:top w:val="nil"/>
              <w:bottom w:val="nil"/>
            </w:tcBorders>
          </w:tcPr>
          <w:p w14:paraId="5B50A4B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(五)檢舉人保護措施。</w:t>
            </w:r>
          </w:p>
        </w:tc>
        <w:tc>
          <w:tcPr>
            <w:tcW w:w="5387" w:type="dxa"/>
            <w:tcBorders>
              <w:top w:val="nil"/>
              <w:bottom w:val="nil"/>
            </w:tcBorders>
          </w:tcPr>
          <w:p w14:paraId="3FCD1CD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(五)檢舉人保護措施。</w:t>
            </w:r>
          </w:p>
        </w:tc>
        <w:tc>
          <w:tcPr>
            <w:tcW w:w="2023" w:type="dxa"/>
            <w:vMerge/>
            <w:tcBorders>
              <w:right w:val="single" w:sz="12" w:space="0" w:color="auto"/>
            </w:tcBorders>
          </w:tcPr>
          <w:p w14:paraId="3AD720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CDBBD9" w14:textId="77777777">
        <w:tc>
          <w:tcPr>
            <w:tcW w:w="1384" w:type="dxa"/>
            <w:vMerge/>
            <w:tcBorders>
              <w:left w:val="single" w:sz="12" w:space="0" w:color="auto"/>
            </w:tcBorders>
          </w:tcPr>
          <w:p w14:paraId="1452F7E9" w14:textId="77777777" w:rsidR="003B3105" w:rsidRDefault="003B3105" w:rsidP="001E533B">
            <w:pPr>
              <w:rPr>
                <w:rFonts w:ascii="新細明體" w:eastAsia="新細明體" w:hAnsi="新細明體"/>
              </w:rPr>
            </w:pPr>
          </w:p>
        </w:tc>
        <w:tc>
          <w:tcPr>
            <w:tcW w:w="1276" w:type="dxa"/>
            <w:vMerge/>
          </w:tcPr>
          <w:p w14:paraId="4DFD6DCD" w14:textId="77777777" w:rsidR="003B3105" w:rsidRDefault="003B3105" w:rsidP="001E533B">
            <w:pPr>
              <w:rPr>
                <w:rFonts w:ascii="新細明體" w:eastAsia="新細明體" w:hAnsi="新細明體"/>
              </w:rPr>
            </w:pPr>
          </w:p>
        </w:tc>
        <w:tc>
          <w:tcPr>
            <w:tcW w:w="5386" w:type="dxa"/>
            <w:tcBorders>
              <w:top w:val="nil"/>
              <w:bottom w:val="nil"/>
            </w:tcBorders>
          </w:tcPr>
          <w:p w14:paraId="0E6A28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(六)檢舉案件受理、調查過程、調查結果與</w:t>
            </w:r>
            <w:r>
              <w:rPr>
                <w:rFonts w:ascii="新細明體" w:eastAsia="新細明體" w:hAnsi="新細明體" w:cs="新細明體" w:hint="eastAsia"/>
              </w:rPr>
              <w:lastRenderedPageBreak/>
              <w:t>相關文件製作之紀錄及保存。</w:t>
            </w:r>
          </w:p>
        </w:tc>
        <w:tc>
          <w:tcPr>
            <w:tcW w:w="5387" w:type="dxa"/>
            <w:tcBorders>
              <w:top w:val="nil"/>
              <w:bottom w:val="nil"/>
            </w:tcBorders>
          </w:tcPr>
          <w:p w14:paraId="199693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(六)檢舉案件受理、調查過程、調查結果與</w:t>
            </w:r>
            <w:r>
              <w:rPr>
                <w:rFonts w:ascii="新細明體" w:eastAsia="新細明體" w:hAnsi="新細明體" w:cs="新細明體" w:hint="eastAsia"/>
              </w:rPr>
              <w:lastRenderedPageBreak/>
              <w:t>相關文件製作之紀錄及保存。</w:t>
            </w:r>
          </w:p>
        </w:tc>
        <w:tc>
          <w:tcPr>
            <w:tcW w:w="2023" w:type="dxa"/>
            <w:vMerge/>
            <w:tcBorders>
              <w:right w:val="single" w:sz="12" w:space="0" w:color="auto"/>
            </w:tcBorders>
          </w:tcPr>
          <w:p w14:paraId="4093A9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2AE9FC" w14:textId="77777777">
        <w:tc>
          <w:tcPr>
            <w:tcW w:w="1384" w:type="dxa"/>
            <w:vMerge/>
            <w:tcBorders>
              <w:left w:val="single" w:sz="12" w:space="0" w:color="auto"/>
            </w:tcBorders>
          </w:tcPr>
          <w:p w14:paraId="1EAC5CE2" w14:textId="77777777" w:rsidR="003B3105" w:rsidRDefault="003B3105" w:rsidP="001E533B">
            <w:pPr>
              <w:rPr>
                <w:rFonts w:ascii="新細明體" w:eastAsia="新細明體" w:hAnsi="新細明體"/>
              </w:rPr>
            </w:pPr>
          </w:p>
        </w:tc>
        <w:tc>
          <w:tcPr>
            <w:tcW w:w="1276" w:type="dxa"/>
            <w:vMerge/>
          </w:tcPr>
          <w:p w14:paraId="5574170D" w14:textId="77777777" w:rsidR="003B3105" w:rsidRDefault="003B3105" w:rsidP="001E533B">
            <w:pPr>
              <w:rPr>
                <w:rFonts w:ascii="新細明體" w:eastAsia="新細明體" w:hAnsi="新細明體"/>
              </w:rPr>
            </w:pPr>
          </w:p>
        </w:tc>
        <w:tc>
          <w:tcPr>
            <w:tcW w:w="5386" w:type="dxa"/>
            <w:tcBorders>
              <w:top w:val="nil"/>
              <w:bottom w:val="nil"/>
            </w:tcBorders>
          </w:tcPr>
          <w:p w14:paraId="61A53C7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(七)檢舉案件之處理情形，應適度以書面或其他方式通知檢舉人。</w:t>
            </w:r>
          </w:p>
        </w:tc>
        <w:tc>
          <w:tcPr>
            <w:tcW w:w="5387" w:type="dxa"/>
            <w:tcBorders>
              <w:top w:val="nil"/>
              <w:bottom w:val="nil"/>
            </w:tcBorders>
          </w:tcPr>
          <w:p w14:paraId="1B0D8C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(七)檢舉案件之處理情形，應適度以書面或其他方式通知檢舉人。</w:t>
            </w:r>
          </w:p>
        </w:tc>
        <w:tc>
          <w:tcPr>
            <w:tcW w:w="2023" w:type="dxa"/>
            <w:vMerge/>
            <w:tcBorders>
              <w:right w:val="single" w:sz="12" w:space="0" w:color="auto"/>
            </w:tcBorders>
          </w:tcPr>
          <w:p w14:paraId="71E354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62419C" w14:textId="77777777">
        <w:tc>
          <w:tcPr>
            <w:tcW w:w="1384" w:type="dxa"/>
            <w:vMerge/>
            <w:tcBorders>
              <w:left w:val="single" w:sz="12" w:space="0" w:color="auto"/>
            </w:tcBorders>
          </w:tcPr>
          <w:p w14:paraId="3E5F4349" w14:textId="77777777" w:rsidR="003B3105" w:rsidRDefault="003B3105" w:rsidP="001E533B">
            <w:pPr>
              <w:rPr>
                <w:rFonts w:ascii="新細明體" w:eastAsia="新細明體" w:hAnsi="新細明體"/>
              </w:rPr>
            </w:pPr>
          </w:p>
        </w:tc>
        <w:tc>
          <w:tcPr>
            <w:tcW w:w="1276" w:type="dxa"/>
            <w:vMerge/>
          </w:tcPr>
          <w:p w14:paraId="67A52015" w14:textId="77777777" w:rsidR="003B3105" w:rsidRDefault="003B3105" w:rsidP="001E533B">
            <w:pPr>
              <w:rPr>
                <w:rFonts w:ascii="新細明體" w:eastAsia="新細明體" w:hAnsi="新細明體"/>
              </w:rPr>
            </w:pPr>
          </w:p>
        </w:tc>
        <w:tc>
          <w:tcPr>
            <w:tcW w:w="5386" w:type="dxa"/>
            <w:tcBorders>
              <w:top w:val="nil"/>
              <w:bottom w:val="nil"/>
            </w:tcBorders>
          </w:tcPr>
          <w:p w14:paraId="44CCBA4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被檢舉人為董事、監察人或職責相當於副總經理以上之管理階層者，調查報告應陳報至監察人或審計委員會複審。</w:t>
            </w:r>
          </w:p>
        </w:tc>
        <w:tc>
          <w:tcPr>
            <w:tcW w:w="5387" w:type="dxa"/>
            <w:tcBorders>
              <w:top w:val="nil"/>
              <w:bottom w:val="nil"/>
            </w:tcBorders>
          </w:tcPr>
          <w:p w14:paraId="7D13A1F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被檢舉人為董事、監察人或職責相當於副總經理以上之管理階層者，調查報告應陳報至監察人或審計委員會複審。</w:t>
            </w:r>
          </w:p>
        </w:tc>
        <w:tc>
          <w:tcPr>
            <w:tcW w:w="2023" w:type="dxa"/>
            <w:vMerge/>
            <w:tcBorders>
              <w:right w:val="single" w:sz="12" w:space="0" w:color="auto"/>
            </w:tcBorders>
          </w:tcPr>
          <w:p w14:paraId="75396E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BA6787" w14:textId="77777777">
        <w:tc>
          <w:tcPr>
            <w:tcW w:w="1384" w:type="dxa"/>
            <w:vMerge/>
            <w:tcBorders>
              <w:left w:val="single" w:sz="12" w:space="0" w:color="auto"/>
            </w:tcBorders>
          </w:tcPr>
          <w:p w14:paraId="4F7BD5B6" w14:textId="77777777" w:rsidR="003B3105" w:rsidRDefault="003B3105" w:rsidP="001E533B">
            <w:pPr>
              <w:rPr>
                <w:rFonts w:ascii="新細明體" w:eastAsia="新細明體" w:hAnsi="新細明體"/>
              </w:rPr>
            </w:pPr>
          </w:p>
        </w:tc>
        <w:tc>
          <w:tcPr>
            <w:tcW w:w="1276" w:type="dxa"/>
            <w:vMerge/>
          </w:tcPr>
          <w:p w14:paraId="5CC2915D" w14:textId="77777777" w:rsidR="003B3105" w:rsidRDefault="003B3105" w:rsidP="001E533B">
            <w:pPr>
              <w:rPr>
                <w:rFonts w:ascii="新細明體" w:eastAsia="新細明體" w:hAnsi="新細明體"/>
              </w:rPr>
            </w:pPr>
          </w:p>
        </w:tc>
        <w:tc>
          <w:tcPr>
            <w:tcW w:w="5386" w:type="dxa"/>
            <w:tcBorders>
              <w:top w:val="nil"/>
              <w:bottom w:val="nil"/>
            </w:tcBorders>
          </w:tcPr>
          <w:p w14:paraId="2F4F8C5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公司調查後發現為重大偶發事件或違法案件，應主動向相關機關通報或告發。</w:t>
            </w:r>
          </w:p>
        </w:tc>
        <w:tc>
          <w:tcPr>
            <w:tcW w:w="5387" w:type="dxa"/>
            <w:tcBorders>
              <w:top w:val="nil"/>
              <w:bottom w:val="nil"/>
            </w:tcBorders>
          </w:tcPr>
          <w:p w14:paraId="19C8444C"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公司調查後發現為重大偶發事件或違法案件，應主動向相關機關通報或告發。</w:t>
            </w:r>
          </w:p>
        </w:tc>
        <w:tc>
          <w:tcPr>
            <w:tcW w:w="2023" w:type="dxa"/>
            <w:vMerge/>
            <w:tcBorders>
              <w:right w:val="single" w:sz="12" w:space="0" w:color="auto"/>
            </w:tcBorders>
          </w:tcPr>
          <w:p w14:paraId="32F0C4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429"/>
              <w:rPr>
                <w:rFonts w:ascii="新細明體" w:eastAsia="新細明體" w:hAnsi="新細明體" w:cs="新細明體"/>
              </w:rPr>
            </w:pPr>
            <w:r>
              <w:rPr>
                <w:rFonts w:ascii="新細明體" w:eastAsia="新細明體" w:hAnsi="新細明體" w:cs="新細明體" w:hint="eastAsia"/>
              </w:rPr>
              <w:t>公司應定期對所屬人員，辦理檢舉制度之宣導及教育訓練。</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公司應定期對所屬人員，辦理檢舉制度之宣導及教育訓練。</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33C"/>
    <w:rsid w:val="00A5751A"/>
    <w:rsid w:val="00A669C2"/>
    <w:rsid w:val="00A7490F"/>
    <w:rsid w:val="00A943E4"/>
    <w:rsid w:val="00AD1920"/>
    <w:rsid w:val="00AD7183"/>
    <w:rsid w:val="00B24B03"/>
    <w:rsid w:val="00B80849"/>
    <w:rsid w:val="00B85495"/>
    <w:rsid w:val="00BA3B85"/>
    <w:rsid w:val="00BD0555"/>
    <w:rsid w:val="00BD0E46"/>
    <w:rsid w:val="00BD5C41"/>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3786</Words>
  <Characters>21584</Characters>
  <Application>Microsoft Office Word</Application>
  <DocSecurity>0</DocSecurity>
  <Lines>179</Lines>
  <Paragraphs>50</Paragraphs>
  <ScaleCrop>false</ScaleCrop>
  <Company>Hewlett-Packard Company</Company>
  <LinksUpToDate>false</LinksUpToDate>
  <CharactersWithSpaces>25320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2026-03-26T01:16:00Z</dcterms:created>
  <dcterms:modified xsi:type="dcterms:W3CDTF">2026-03-26T01:16:00Z</dcterms:modified>
</cp:coreProperties>
</file>